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b/>
                <w:sz w:val="22"/>
                <w:szCs w:val="22"/>
              </w:rPr>
              <w:t>鑫福传动部件（无锡）有限公司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原材料检验（废钢、合金）→熔化→铸造→冷却成型→脱模清理→退火（适用时）→去毛刺→铸件→加热→锻压→缓冷→检验→成品；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天然气、天然气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主要能源参数等；综合能耗tce；单位产品综合能耗tce/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t；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单位产值综合能耗tce/万元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</w:t>
            </w: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119-2015 能源管理体系 机械制造企业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等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GB/T 9440-2010锻铸铁件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 xml:space="preserve">  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 xml:space="preserve">JB/T 5000.4-2007 重型机械通用技术条件 铸铁件 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JB/T 6403-1992 大型耐热钢铸件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11352-2009 一般工程用铸造碳钢件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180340</wp:posOffset>
                  </wp:positionV>
                  <wp:extent cx="680720" cy="330835"/>
                  <wp:effectExtent l="0" t="0" r="5080" b="12065"/>
                  <wp:wrapSquare wrapText="bothSides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74944B2"/>
    <w:rsid w:val="2334595A"/>
    <w:rsid w:val="35327C4F"/>
    <w:rsid w:val="3C1C13EF"/>
    <w:rsid w:val="3D050FC4"/>
    <w:rsid w:val="49AD2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2022-09-08T08:21:10Z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