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1029-2022-EO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陇西县钧盛水泥制造有限责任公司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2022年09月01日 上午至2022年09月01日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hAnsi="宋体"/>
                <w:b/>
                <w:color w:val="000000"/>
                <w:szCs w:val="21"/>
                <w:lang w:val="de-DE"/>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甘肃省定西市陇西县云田镇北站村渭阳路口(执法局建筑垃圾填埋场)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音频</w:t>
            </w:r>
            <w:r>
              <w:rPr>
                <w:rFonts w:hint="eastAsia" w:ascii="宋体" w:hAnsi="宋体"/>
                <w:b/>
                <w:color w:val="000000"/>
                <w:szCs w:val="21"/>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网络</w:t>
            </w:r>
            <w:r>
              <w:rPr>
                <w:rFonts w:hint="eastAsia" w:ascii="宋体" w:hAnsi="宋体"/>
                <w:b/>
                <w:color w:val="000000"/>
                <w:szCs w:val="21"/>
                <w:lang w:val="de-DE"/>
              </w:rPr>
              <w:t>■</w:t>
            </w:r>
            <w:r>
              <w:rPr>
                <w:rFonts w:hint="eastAsia" w:ascii="宋体"/>
                <w:b/>
                <w:color w:val="0000FF"/>
                <w:szCs w:val="21"/>
              </w:rPr>
              <w:t>智能手机□手持设备</w:t>
            </w:r>
            <w:r>
              <w:rPr>
                <w:rFonts w:hint="eastAsia" w:ascii="宋体" w:hAnsi="宋体"/>
                <w:b/>
                <w:color w:val="000000"/>
                <w:szCs w:val="21"/>
                <w:lang w:val="de-DE"/>
              </w:rPr>
              <w:t>■</w:t>
            </w:r>
            <w:r>
              <w:rPr>
                <w:rFonts w:hint="eastAsia" w:ascii="宋体"/>
                <w:b/>
                <w:color w:val="0000FF"/>
                <w:szCs w:val="21"/>
              </w:rPr>
              <w:t>笔记本电脑</w:t>
            </w:r>
            <w:r>
              <w:rPr>
                <w:rFonts w:hint="eastAsia" w:ascii="宋体" w:hAnsi="宋体"/>
                <w:b/>
                <w:color w:val="000000"/>
                <w:szCs w:val="21"/>
                <w:lang w:val="de-DE"/>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96"/>
        <w:gridCol w:w="131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96" w:type="dxa"/>
            <w:vAlign w:val="center"/>
          </w:tcPr>
          <w:p>
            <w:pPr>
              <w:spacing w:line="240" w:lineRule="exact"/>
              <w:jc w:val="center"/>
              <w:rPr>
                <w:b/>
                <w:color w:val="000000"/>
                <w:szCs w:val="21"/>
              </w:rPr>
            </w:pPr>
            <w:r>
              <w:rPr>
                <w:rFonts w:hint="eastAsia"/>
                <w:szCs w:val="21"/>
              </w:rPr>
              <w:t>审核员注册证书号</w:t>
            </w:r>
          </w:p>
        </w:tc>
        <w:tc>
          <w:tcPr>
            <w:tcW w:w="1314"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696" w:type="dxa"/>
            <w:vAlign w:val="center"/>
          </w:tcPr>
          <w:p>
            <w:pPr>
              <w:spacing w:line="240" w:lineRule="exact"/>
              <w:jc w:val="center"/>
              <w:rPr>
                <w:b/>
                <w:color w:val="000000"/>
                <w:szCs w:val="21"/>
              </w:rPr>
            </w:pPr>
            <w:r>
              <w:rPr>
                <w:b/>
                <w:color w:val="000000"/>
                <w:szCs w:val="21"/>
              </w:rPr>
              <w:t>2021-N1EMS-2222792</w:t>
            </w:r>
          </w:p>
          <w:p>
            <w:pPr>
              <w:spacing w:line="240" w:lineRule="exact"/>
              <w:jc w:val="center"/>
              <w:rPr>
                <w:b/>
                <w:color w:val="000000"/>
                <w:szCs w:val="21"/>
              </w:rPr>
            </w:pPr>
            <w:r>
              <w:rPr>
                <w:b/>
                <w:color w:val="000000"/>
                <w:szCs w:val="21"/>
              </w:rPr>
              <w:t>2021-N1OHSMS-2222792</w:t>
            </w:r>
          </w:p>
        </w:tc>
        <w:tc>
          <w:tcPr>
            <w:tcW w:w="1314" w:type="dxa"/>
            <w:vAlign w:val="center"/>
          </w:tcPr>
          <w:p>
            <w:pPr>
              <w:spacing w:line="240" w:lineRule="exact"/>
              <w:jc w:val="center"/>
              <w:rPr>
                <w:b/>
                <w:color w:val="000000"/>
                <w:szCs w:val="21"/>
              </w:rPr>
            </w:pPr>
            <w:r>
              <w:rPr>
                <w:b/>
                <w:color w:val="000000"/>
                <w:szCs w:val="21"/>
              </w:rPr>
              <w:t>E:16.02.01</w:t>
            </w:r>
          </w:p>
          <w:p>
            <w:pPr>
              <w:spacing w:line="240" w:lineRule="exact"/>
              <w:jc w:val="center"/>
              <w:rPr>
                <w:b/>
                <w:color w:val="000000"/>
                <w:szCs w:val="21"/>
              </w:rPr>
            </w:pPr>
            <w:r>
              <w:rPr>
                <w:b/>
                <w:color w:val="000000"/>
                <w:szCs w:val="21"/>
              </w:rPr>
              <w:t>O:16.02.01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696" w:type="dxa"/>
            <w:vAlign w:val="center"/>
          </w:tcPr>
          <w:p>
            <w:pPr>
              <w:spacing w:line="240" w:lineRule="exact"/>
              <w:jc w:val="center"/>
              <w:rPr>
                <w:b/>
                <w:color w:val="000000"/>
                <w:szCs w:val="21"/>
              </w:rPr>
            </w:pPr>
            <w:r>
              <w:rPr>
                <w:b/>
                <w:color w:val="000000"/>
                <w:szCs w:val="21"/>
              </w:rPr>
              <w:t>2020-N1EMS-2219448</w:t>
            </w:r>
          </w:p>
          <w:p>
            <w:pPr>
              <w:spacing w:line="240" w:lineRule="exact"/>
              <w:jc w:val="center"/>
              <w:rPr>
                <w:b/>
                <w:color w:val="000000"/>
                <w:szCs w:val="21"/>
              </w:rPr>
            </w:pPr>
            <w:r>
              <w:rPr>
                <w:b/>
                <w:color w:val="000000"/>
                <w:szCs w:val="21"/>
              </w:rPr>
              <w:t>2020-N1OHSMS-2219448</w:t>
            </w:r>
          </w:p>
        </w:tc>
        <w:tc>
          <w:tcPr>
            <w:tcW w:w="1314" w:type="dxa"/>
            <w:vAlign w:val="center"/>
          </w:tcPr>
          <w:p>
            <w:pPr>
              <w:spacing w:line="240" w:lineRule="exact"/>
              <w:jc w:val="center"/>
              <w:rPr>
                <w:b/>
                <w:color w:val="000000"/>
                <w:szCs w:val="21"/>
              </w:rPr>
            </w:pPr>
            <w:r>
              <w:rPr>
                <w:b/>
                <w:color w:val="000000"/>
                <w:szCs w:val="21"/>
              </w:rPr>
              <w:t>E:16.02.01</w:t>
            </w:r>
          </w:p>
          <w:p>
            <w:pPr>
              <w:spacing w:line="240" w:lineRule="exact"/>
              <w:jc w:val="center"/>
              <w:rPr>
                <w:b/>
                <w:color w:val="000000"/>
                <w:szCs w:val="21"/>
              </w:rPr>
            </w:pPr>
            <w:r>
              <w:rPr>
                <w:b/>
                <w:color w:val="000000"/>
                <w:szCs w:val="21"/>
              </w:rPr>
              <w:t>O:16.02.01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696" w:type="dxa"/>
            <w:vAlign w:val="center"/>
          </w:tcPr>
          <w:p>
            <w:pPr>
              <w:rPr>
                <w:b/>
                <w:color w:val="000000"/>
                <w:szCs w:val="21"/>
              </w:rPr>
            </w:pPr>
          </w:p>
        </w:tc>
        <w:tc>
          <w:tcPr>
            <w:tcW w:w="131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696" w:type="dxa"/>
            <w:vAlign w:val="center"/>
          </w:tcPr>
          <w:p>
            <w:pPr>
              <w:rPr>
                <w:b/>
                <w:color w:val="000000"/>
                <w:szCs w:val="21"/>
              </w:rPr>
            </w:pPr>
          </w:p>
        </w:tc>
        <w:tc>
          <w:tcPr>
            <w:tcW w:w="131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696" w:type="dxa"/>
            <w:vAlign w:val="center"/>
          </w:tcPr>
          <w:p>
            <w:pPr>
              <w:rPr>
                <w:b/>
                <w:color w:val="000000"/>
                <w:szCs w:val="21"/>
              </w:rPr>
            </w:pPr>
          </w:p>
        </w:tc>
        <w:tc>
          <w:tcPr>
            <w:tcW w:w="131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96" w:type="dxa"/>
            <w:vAlign w:val="center"/>
          </w:tcPr>
          <w:p>
            <w:pPr>
              <w:rPr>
                <w:b/>
                <w:color w:val="000000"/>
                <w:szCs w:val="21"/>
              </w:rPr>
            </w:pPr>
            <w:r>
              <w:rPr>
                <w:rFonts w:hint="eastAsia"/>
                <w:b/>
                <w:color w:val="000000"/>
                <w:szCs w:val="21"/>
              </w:rPr>
              <w:t>工作单位</w:t>
            </w:r>
          </w:p>
        </w:tc>
        <w:tc>
          <w:tcPr>
            <w:tcW w:w="2402"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696" w:type="dxa"/>
            <w:vAlign w:val="center"/>
          </w:tcPr>
          <w:p>
            <w:pPr>
              <w:rPr>
                <w:b/>
                <w:color w:val="000000"/>
                <w:szCs w:val="21"/>
              </w:rPr>
            </w:pPr>
          </w:p>
        </w:tc>
        <w:tc>
          <w:tcPr>
            <w:tcW w:w="2402"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696" w:type="dxa"/>
            <w:vAlign w:val="center"/>
          </w:tcPr>
          <w:p>
            <w:pPr>
              <w:rPr>
                <w:b/>
                <w:color w:val="000000"/>
                <w:szCs w:val="21"/>
                <w:highlight w:val="green"/>
              </w:rPr>
            </w:pPr>
          </w:p>
        </w:tc>
        <w:tc>
          <w:tcPr>
            <w:tcW w:w="2402"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395"/>
        <w:gridCol w:w="792"/>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陇西县钧盛水泥制造有限责任公司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260" w:type="dxa"/>
            <w:gridSpan w:val="3"/>
          </w:tcPr>
          <w:p>
            <w:pPr>
              <w:spacing w:line="280" w:lineRule="exact"/>
              <w:rPr>
                <w:rFonts w:ascii="宋体"/>
                <w:b/>
                <w:color w:val="000000"/>
                <w:szCs w:val="21"/>
              </w:rPr>
            </w:pPr>
            <w:bookmarkStart w:id="25" w:name="注册地址"/>
            <w:r>
              <w:rPr>
                <w:rFonts w:ascii="宋体"/>
                <w:b/>
                <w:color w:val="000000"/>
                <w:szCs w:val="21"/>
              </w:rPr>
              <w:t>甘肃省定西市陇西县云田镇北站村渭阳路口(执法局建筑垃圾填埋场)</w:t>
            </w:r>
            <w:bookmarkEnd w:id="25"/>
          </w:p>
        </w:tc>
        <w:tc>
          <w:tcPr>
            <w:tcW w:w="1027"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748100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260"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甘肃省定西市陇西县云田镇北站村渭阳路口(执法局建筑垃圾填埋场)</w:t>
            </w:r>
            <w:bookmarkEnd w:id="27"/>
            <w:bookmarkEnd w:id="28"/>
          </w:p>
        </w:tc>
        <w:tc>
          <w:tcPr>
            <w:tcW w:w="1027"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748100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jc w:val="center"/>
              <w:rPr>
                <w:rFonts w:hint="eastAsia" w:ascii="宋体" w:hAnsi="宋体" w:eastAsia="宋体" w:cs="Times New Roman"/>
                <w:b/>
                <w:color w:val="000000"/>
                <w:szCs w:val="21"/>
              </w:rPr>
            </w:pPr>
            <w:bookmarkStart w:id="30" w:name="联系人"/>
            <w:r>
              <w:rPr>
                <w:rFonts w:hint="eastAsia" w:ascii="宋体" w:hAnsi="宋体" w:eastAsia="宋体" w:cs="Times New Roman"/>
                <w:b/>
                <w:color w:val="000000"/>
                <w:szCs w:val="21"/>
              </w:rPr>
              <w:t>毛欣</w:t>
            </w:r>
            <w:bookmarkEnd w:id="30"/>
          </w:p>
        </w:tc>
        <w:tc>
          <w:tcPr>
            <w:tcW w:w="1313" w:type="dxa"/>
            <w:vAlign w:val="center"/>
          </w:tcPr>
          <w:p>
            <w:pPr>
              <w:spacing w:line="280" w:lineRule="exac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电话.</w:t>
            </w:r>
          </w:p>
        </w:tc>
        <w:tc>
          <w:tcPr>
            <w:tcW w:w="2395" w:type="dxa"/>
            <w:vAlign w:val="center"/>
          </w:tcPr>
          <w:p>
            <w:pPr>
              <w:spacing w:line="280" w:lineRule="exact"/>
              <w:jc w:val="center"/>
              <w:rPr>
                <w:rFonts w:hint="eastAsia" w:ascii="宋体" w:hAnsi="宋体" w:eastAsia="宋体" w:cs="Times New Roman"/>
                <w:b/>
                <w:color w:val="000000"/>
                <w:szCs w:val="21"/>
              </w:rPr>
            </w:pPr>
            <w:bookmarkStart w:id="31" w:name="联系人手机"/>
            <w:r>
              <w:rPr>
                <w:rFonts w:hint="eastAsia" w:ascii="宋体" w:hAnsi="宋体" w:eastAsia="宋体" w:cs="Times New Roman"/>
                <w:b/>
                <w:color w:val="000000"/>
                <w:szCs w:val="21"/>
              </w:rPr>
              <w:t>17793223635</w:t>
            </w:r>
            <w:bookmarkEnd w:id="31"/>
          </w:p>
        </w:tc>
        <w:tc>
          <w:tcPr>
            <w:tcW w:w="1027" w:type="dxa"/>
            <w:gridSpan w:val="2"/>
            <w:vAlign w:val="center"/>
          </w:tcPr>
          <w:p>
            <w:pPr>
              <w:spacing w:line="280" w:lineRule="exac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传真</w:t>
            </w:r>
          </w:p>
        </w:tc>
        <w:tc>
          <w:tcPr>
            <w:tcW w:w="1771" w:type="dxa"/>
            <w:gridSpan w:val="2"/>
          </w:tcPr>
          <w:p>
            <w:pPr>
              <w:spacing w:line="280" w:lineRule="exact"/>
              <w:jc w:val="center"/>
              <w:rPr>
                <w:rFonts w:hint="eastAsia" w:ascii="宋体" w:hAnsi="宋体" w:eastAsia="宋体" w:cs="Times New Roman"/>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spacing w:line="280" w:lineRule="exact"/>
              <w:jc w:val="center"/>
              <w:rPr>
                <w:rFonts w:hint="eastAsia" w:ascii="宋体" w:hAnsi="宋体" w:eastAsia="宋体" w:cs="Times New Roman"/>
                <w:b/>
                <w:color w:val="000000"/>
                <w:szCs w:val="21"/>
              </w:rPr>
            </w:pPr>
            <w:bookmarkStart w:id="33" w:name="法人"/>
            <w:r>
              <w:rPr>
                <w:rFonts w:hint="eastAsia" w:ascii="宋体" w:hAnsi="宋体" w:eastAsia="宋体" w:cs="Times New Roman"/>
                <w:b/>
                <w:color w:val="000000"/>
                <w:szCs w:val="21"/>
              </w:rPr>
              <w:t>陈海舟</w:t>
            </w:r>
            <w:bookmarkEnd w:id="33"/>
          </w:p>
        </w:tc>
        <w:tc>
          <w:tcPr>
            <w:tcW w:w="1313" w:type="dxa"/>
            <w:vAlign w:val="center"/>
          </w:tcPr>
          <w:p>
            <w:pPr>
              <w:spacing w:line="280" w:lineRule="exac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管理者代表</w:t>
            </w:r>
          </w:p>
        </w:tc>
        <w:tc>
          <w:tcPr>
            <w:tcW w:w="2395" w:type="dxa"/>
          </w:tcPr>
          <w:p>
            <w:pPr>
              <w:spacing w:line="280" w:lineRule="exact"/>
              <w:jc w:val="center"/>
              <w:rPr>
                <w:rFonts w:hint="eastAsia" w:ascii="宋体" w:hAnsi="宋体" w:eastAsia="宋体" w:cs="Times New Roman"/>
                <w:b/>
                <w:color w:val="000000"/>
                <w:szCs w:val="21"/>
              </w:rPr>
            </w:pPr>
            <w:bookmarkStart w:id="34" w:name="管理者代表"/>
            <w:r>
              <w:rPr>
                <w:rFonts w:hint="eastAsia" w:ascii="宋体" w:hAnsi="宋体" w:eastAsia="宋体" w:cs="Times New Roman"/>
                <w:b/>
                <w:color w:val="000000"/>
                <w:szCs w:val="21"/>
              </w:rPr>
              <w:t>毛欣</w:t>
            </w:r>
            <w:bookmarkEnd w:id="34"/>
          </w:p>
        </w:tc>
        <w:tc>
          <w:tcPr>
            <w:tcW w:w="1027" w:type="dxa"/>
            <w:gridSpan w:val="2"/>
          </w:tcPr>
          <w:p>
            <w:pPr>
              <w:spacing w:line="280" w:lineRule="exac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邮箱</w:t>
            </w:r>
          </w:p>
        </w:tc>
        <w:tc>
          <w:tcPr>
            <w:tcW w:w="1771" w:type="dxa"/>
            <w:gridSpan w:val="2"/>
          </w:tcPr>
          <w:p>
            <w:pPr>
              <w:spacing w:line="280" w:lineRule="exact"/>
              <w:jc w:val="center"/>
              <w:rPr>
                <w:rFonts w:hint="eastAsia"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highlight w:val="none"/>
              </w:rPr>
            </w:pPr>
            <w:r>
              <w:rPr>
                <w:rFonts w:hint="eastAsia" w:ascii="宋体" w:hAnsi="宋体"/>
                <w:b/>
                <w:color w:val="000000"/>
                <w:szCs w:val="21"/>
                <w:highlight w:val="none"/>
              </w:rPr>
              <w:t>产品：</w:t>
            </w:r>
            <w:r>
              <w:rPr>
                <w:highlight w:val="none"/>
              </w:rPr>
              <w:t>环形钢筋混凝土电杆、钢筋混凝土</w:t>
            </w:r>
            <w:r>
              <w:rPr>
                <w:szCs w:val="21"/>
                <w:highlight w:val="none"/>
              </w:rPr>
              <w:t>排水管</w:t>
            </w:r>
          </w:p>
          <w:p>
            <w:pPr>
              <w:tabs>
                <w:tab w:val="left" w:pos="360"/>
              </w:tabs>
              <w:ind w:left="360" w:hanging="360"/>
              <w:rPr>
                <w:rFonts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adjustRightInd w:val="0"/>
              <w:snapToGrid w:val="0"/>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环形混凝土电杆生产流程：</w:t>
            </w:r>
            <w:r>
              <w:rPr>
                <w:rFonts w:hint="eastAsia" w:ascii="宋体" w:hAnsi="宋体"/>
                <w:szCs w:val="21"/>
                <w:highlight w:val="none"/>
              </w:rPr>
              <w:t>配料→搅拌→装筋→浇灌→离心成型→养护→脱模→成品检验</w:t>
            </w:r>
            <w:r>
              <w:rPr>
                <w:rFonts w:hint="eastAsia" w:ascii="宋体" w:hAnsi="宋体" w:cs="宋体"/>
                <w:color w:val="000000"/>
                <w:kern w:val="0"/>
                <w:szCs w:val="21"/>
                <w:highlight w:val="none"/>
              </w:rPr>
              <w:t>；</w:t>
            </w:r>
          </w:p>
          <w:p>
            <w:pPr>
              <w:tabs>
                <w:tab w:val="left" w:pos="360"/>
              </w:tabs>
              <w:ind w:left="360" w:hanging="360"/>
              <w:rPr>
                <w:rFonts w:ascii="宋体"/>
                <w:color w:val="000000"/>
                <w:szCs w:val="21"/>
                <w:highlight w:val="none"/>
              </w:rPr>
            </w:pPr>
            <w:r>
              <w:rPr>
                <w:szCs w:val="21"/>
                <w:highlight w:val="none"/>
              </w:rPr>
              <w:t>钢筋混凝土排水管</w:t>
            </w:r>
            <w:r>
              <w:rPr>
                <w:rFonts w:hint="eastAsia" w:ascii="宋体" w:hAnsi="宋体" w:cs="宋体"/>
                <w:color w:val="000000"/>
                <w:kern w:val="0"/>
                <w:szCs w:val="21"/>
                <w:highlight w:val="none"/>
              </w:rPr>
              <w:t>生产流程：</w:t>
            </w:r>
            <w:r>
              <w:rPr>
                <w:rFonts w:hint="eastAsia" w:ascii="宋体" w:hAnsi="宋体"/>
                <w:szCs w:val="21"/>
                <w:highlight w:val="none"/>
              </w:rPr>
              <w:t>配料→搅拌→装筋→浇灌→悬滚成型→养护→脱模→成品检验</w:t>
            </w:r>
            <w:r>
              <w:rPr>
                <w:rFonts w:hint="eastAsia" w:ascii="宋体" w:hAnsi="宋体" w:cs="宋体"/>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bookmarkStart w:id="35" w:name="审核范围"/>
            <w:r>
              <w:t>环形钢筋混凝土电杆、钢筋混凝土输水管的生产及销售所涉及场所的相关环境管理活动</w:t>
            </w:r>
            <w:bookmarkEnd w:id="35"/>
          </w:p>
        </w:tc>
        <w:tc>
          <w:tcPr>
            <w:tcW w:w="2006" w:type="dxa"/>
            <w:gridSpan w:val="3"/>
            <w:vAlign w:val="center"/>
          </w:tcPr>
          <w:p>
            <w:bookmarkStart w:id="36" w:name="专业代码"/>
            <w:r>
              <w:t>16.02.01</w:t>
            </w:r>
          </w:p>
          <w:bookmarkEnd w:id="36"/>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环形钢筋混凝土电杆、钢筋混凝土输水管的生产及销售所涉及场所的相关职业健康安全管理活动</w:t>
            </w:r>
          </w:p>
        </w:tc>
        <w:tc>
          <w:tcPr>
            <w:tcW w:w="2006" w:type="dxa"/>
            <w:gridSpan w:val="3"/>
            <w:vAlign w:val="center"/>
          </w:tcPr>
          <w:p>
            <w:pPr>
              <w:spacing w:line="400" w:lineRule="exact"/>
              <w:rPr>
                <w:rFonts w:ascii="宋体" w:hAnsi="宋体"/>
                <w:b/>
                <w:color w:val="000000"/>
                <w:szCs w:val="21"/>
              </w:rPr>
            </w:pPr>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rPr>
            </w:pPr>
            <w:r>
              <w:rPr>
                <w:rFonts w:hint="eastAsia"/>
              </w:rPr>
              <w:t>如不一致，请简述不一致情况：</w:t>
            </w:r>
          </w:p>
          <w:p>
            <w:r>
              <w:t>E：环形钢筋混凝土电杆、钢筋混凝土</w:t>
            </w:r>
            <w:r>
              <w:rPr>
                <w:rFonts w:hint="eastAsia"/>
                <w:lang w:val="en-US" w:eastAsia="zh-CN"/>
              </w:rPr>
              <w:t>排水管</w:t>
            </w:r>
            <w:r>
              <w:t>的生产及销售所涉及场所的相关环境管理活动</w:t>
            </w:r>
          </w:p>
          <w:p>
            <w:pPr>
              <w:pStyle w:val="2"/>
            </w:pPr>
            <w:r>
              <w:t>O：环形钢筋混凝土电杆、钢筋混凝土</w:t>
            </w:r>
            <w:r>
              <w:rPr>
                <w:rFonts w:hint="eastAsia"/>
                <w:lang w:val="en-US" w:eastAsia="zh-CN"/>
              </w:rPr>
              <w:t>排水管</w:t>
            </w:r>
            <w:r>
              <w:t>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06"/>
        <w:gridCol w:w="136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10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6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r>
              <w:t>陇西县钧盛水泥制造有限责任公司</w:t>
            </w:r>
          </w:p>
          <w:p>
            <w:pPr>
              <w:pStyle w:val="2"/>
              <w:rPr>
                <w:rFonts w:ascii="Times New Roman" w:hAnsi="Times New Roman" w:eastAsia="宋体" w:cs="Times New Roman"/>
                <w:bCs/>
                <w:spacing w:val="10"/>
                <w:kern w:val="2"/>
                <w:sz w:val="21"/>
                <w:szCs w:val="24"/>
                <w:lang w:val="de-DE" w:eastAsia="ja-JP" w:bidi="ar-SA"/>
              </w:rPr>
            </w:pPr>
            <w:r>
              <w:t>甘肃省定西市陇西县云田镇北站村渭阳路口(执法局建筑垃圾填埋场)</w:t>
            </w:r>
          </w:p>
        </w:tc>
        <w:tc>
          <w:tcPr>
            <w:tcW w:w="2267" w:type="dxa"/>
            <w:vAlign w:val="top"/>
          </w:tcPr>
          <w:p>
            <w:pPr>
              <w:rPr>
                <w:rFonts w:ascii="Times New Roman" w:hAnsi="Times New Roman" w:eastAsia="宋体" w:cs="Times New Roman"/>
                <w:kern w:val="2"/>
                <w:sz w:val="21"/>
                <w:szCs w:val="24"/>
                <w:lang w:val="de-DE" w:eastAsia="ja-JP" w:bidi="ar-SA"/>
              </w:rPr>
            </w:pPr>
            <w:r>
              <w:t>甘肃省定西市陇西县云田镇北站村渭阳路口(执法局建筑垃圾填埋场)</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106" w:type="dxa"/>
            <w:vAlign w:val="center"/>
          </w:tcPr>
          <w:p>
            <w:r>
              <w:t>E：环形钢筋混凝土电杆、钢筋混凝土</w:t>
            </w:r>
            <w:r>
              <w:rPr>
                <w:rFonts w:hint="eastAsia"/>
                <w:lang w:val="en-US" w:eastAsia="zh-CN"/>
              </w:rPr>
              <w:t>排水管</w:t>
            </w:r>
            <w:r>
              <w:t>的生产及销售所涉及场所的相关环境管理活动</w:t>
            </w:r>
          </w:p>
          <w:p>
            <w:pPr>
              <w:rPr>
                <w:rFonts w:ascii="Times New Roman" w:hAnsi="Times New Roman" w:eastAsia="宋体" w:cs="Times New Roman"/>
                <w:kern w:val="2"/>
                <w:sz w:val="21"/>
                <w:szCs w:val="24"/>
                <w:lang w:val="en-US" w:eastAsia="ja-JP" w:bidi="ar-SA"/>
              </w:rPr>
            </w:pPr>
            <w:r>
              <w:t>O：环形钢筋混凝土电杆、钢筋混凝土</w:t>
            </w:r>
            <w:r>
              <w:rPr>
                <w:rFonts w:hint="eastAsia"/>
                <w:lang w:val="en-US" w:eastAsia="zh-CN"/>
              </w:rPr>
              <w:t>排水管</w:t>
            </w:r>
            <w:r>
              <w:t>的生产及销售所涉及场所的相关职业健康安全管理活动</w:t>
            </w:r>
          </w:p>
        </w:tc>
        <w:tc>
          <w:tcPr>
            <w:tcW w:w="1366" w:type="dxa"/>
            <w:vAlign w:val="center"/>
          </w:tcPr>
          <w:p>
            <w:pPr>
              <w:rPr>
                <w:rFonts w:ascii="Times New Roman" w:hAnsi="Times New Roman" w:eastAsia="宋体" w:cs="Times New Roman"/>
                <w:kern w:val="2"/>
                <w:sz w:val="21"/>
                <w:szCs w:val="24"/>
                <w:lang w:val="en-US" w:eastAsia="ja-JP" w:bidi="ar-SA"/>
              </w:rPr>
            </w:pPr>
            <w:r>
              <w:rPr>
                <w:rFonts w:hint="eastAsia" w:ascii="Times New Roman" w:hAnsi="Times New Roman" w:eastAsia="宋体" w:cs="Times New Roman"/>
              </w:rPr>
              <w:t>GB/T24001-2016/ISO 14001:2015 GB/T45001-2020/ISO45001：2018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06" w:type="dxa"/>
            <w:vAlign w:val="center"/>
          </w:tcPr>
          <w:p>
            <w:pPr>
              <w:spacing w:before="40" w:after="40"/>
              <w:rPr>
                <w:rFonts w:eastAsia="黑体"/>
                <w:szCs w:val="21"/>
                <w:lang w:eastAsia="ja-JP"/>
              </w:rPr>
            </w:pPr>
          </w:p>
        </w:tc>
        <w:tc>
          <w:tcPr>
            <w:tcW w:w="136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06" w:type="dxa"/>
            <w:vAlign w:val="center"/>
          </w:tcPr>
          <w:p>
            <w:pPr>
              <w:spacing w:before="40" w:after="40"/>
              <w:rPr>
                <w:rFonts w:eastAsia="黑体"/>
                <w:szCs w:val="21"/>
                <w:lang w:eastAsia="ja-JP"/>
              </w:rPr>
            </w:pPr>
          </w:p>
        </w:tc>
        <w:tc>
          <w:tcPr>
            <w:tcW w:w="136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06" w:type="dxa"/>
            <w:vAlign w:val="center"/>
          </w:tcPr>
          <w:p>
            <w:pPr>
              <w:spacing w:before="40" w:after="40"/>
              <w:rPr>
                <w:rFonts w:eastAsia="黑体"/>
                <w:szCs w:val="21"/>
                <w:lang w:eastAsia="ja-JP"/>
              </w:rPr>
            </w:pPr>
          </w:p>
        </w:tc>
        <w:tc>
          <w:tcPr>
            <w:tcW w:w="136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06" w:type="dxa"/>
            <w:vAlign w:val="center"/>
          </w:tcPr>
          <w:p>
            <w:pPr>
              <w:spacing w:before="40" w:after="40"/>
              <w:rPr>
                <w:rFonts w:eastAsia="黑体"/>
                <w:szCs w:val="21"/>
                <w:lang w:eastAsia="ja-JP"/>
              </w:rPr>
            </w:pPr>
          </w:p>
        </w:tc>
        <w:tc>
          <w:tcPr>
            <w:tcW w:w="136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21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eastAsia="宋体" w:cs="Times New Roman"/>
                <w:b/>
                <w:color w:val="000000"/>
                <w:szCs w:val="21"/>
              </w:rPr>
            </w:pPr>
            <w:r>
              <w:rPr>
                <w:rFonts w:hint="eastAsia" w:ascii="宋体" w:hAnsi="宋体" w:eastAsia="宋体" w:cs="Times New Roman"/>
                <w:b/>
                <w:color w:val="000000"/>
                <w:szCs w:val="21"/>
              </w:rPr>
              <w:t>11.已根据策划和标准要求于2022年6月6日至7日由有能力的人实施了内部审核，覆盖所有场所、部门和过程，</w:t>
            </w:r>
            <w:r>
              <w:rPr>
                <w:rFonts w:hint="eastAsia" w:ascii="宋体" w:hAnsi="宋体" w:eastAsia="宋体" w:cs="Times New Roman"/>
                <w:b/>
                <w:color w:val="000000"/>
                <w:szCs w:val="21"/>
                <w:lang w:val="en-GB"/>
              </w:rPr>
              <w:t>组织通过内审验证了管理体系的</w:t>
            </w:r>
            <w:r>
              <w:rPr>
                <w:rFonts w:hint="eastAsia" w:ascii="宋体" w:hAnsi="宋体" w:eastAsia="宋体" w:cs="Times New Roman"/>
                <w:b/>
                <w:color w:val="000000"/>
                <w:szCs w:val="21"/>
              </w:rPr>
              <w:t>符合性</w:t>
            </w:r>
            <w:r>
              <w:rPr>
                <w:rFonts w:hint="eastAsia" w:ascii="宋体" w:hAnsi="宋体" w:eastAsia="宋体" w:cs="Times New Roman"/>
                <w:b/>
                <w:color w:val="000000"/>
                <w:szCs w:val="21"/>
                <w:lang w:val="en-GB"/>
              </w:rPr>
              <w:t>及有效性，</w:t>
            </w:r>
            <w:r>
              <w:rPr>
                <w:rFonts w:hint="eastAsia" w:ascii="宋体" w:hAnsi="宋体" w:eastAsia="宋体" w:cs="Times New Roman"/>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hint="eastAsia" w:ascii="宋体" w:hAnsi="宋体" w:eastAsia="宋体" w:cs="Times New Roman"/>
                <w:b/>
                <w:color w:val="000000"/>
                <w:kern w:val="2"/>
                <w:sz w:val="21"/>
                <w:szCs w:val="21"/>
                <w:lang w:val="en-GB" w:eastAsia="zh-CN" w:bidi="ar-SA"/>
              </w:rPr>
            </w:pPr>
            <w:r>
              <w:rPr>
                <w:rFonts w:hint="eastAsia" w:ascii="宋体" w:hAnsi="宋体" w:eastAsia="宋体" w:cs="Times New Roman"/>
                <w:b/>
                <w:color w:val="000000"/>
                <w:kern w:val="2"/>
                <w:sz w:val="21"/>
                <w:szCs w:val="21"/>
                <w:lang w:val="en-US" w:eastAsia="zh-CN" w:bidi="ar-SA"/>
              </w:rPr>
              <w:t>12.已根据策划于2022年6月15日完成管理评审，包括所有标准要求的输入和输出,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hAnsi="宋体"/>
                <w:b/>
                <w:color w:val="000000"/>
                <w:szCs w:val="21"/>
                <w:lang w:val="de-DE"/>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宋体" w:hAnsi="宋体"/>
                <w:color w:val="000000"/>
                <w:spacing w:val="-10"/>
                <w:szCs w:val="21"/>
                <w:lang w:eastAsia="zh-CN"/>
              </w:rPr>
              <w:t>☑</w:t>
            </w:r>
            <w:r>
              <w:rPr>
                <w:rFonts w:eastAsia="黑体"/>
                <w:b/>
                <w:szCs w:val="21"/>
              </w:rPr>
              <w:t>OHSAS 18001:2007</w:t>
            </w:r>
            <w:r>
              <w:rPr>
                <w:rFonts w:hint="eastAsia" w:eastAsia="黑体"/>
                <w:b/>
                <w:szCs w:val="21"/>
              </w:rPr>
              <w:t>/</w:t>
            </w:r>
            <w:bookmarkStart w:id="38" w:name="_GoBack"/>
            <w:bookmarkEnd w:id="38"/>
            <w:r>
              <w:rPr>
                <w:rFonts w:hint="eastAsia" w:ascii="宋体" w:hAnsi="宋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hAnsi="宋体"/>
                <w:b/>
                <w:color w:val="000000"/>
                <w:szCs w:val="21"/>
                <w:lang w:val="de-DE"/>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2022-09-0</w:t>
            </w:r>
            <w:bookmarkEnd w:id="37"/>
            <w:r>
              <w:rPr>
                <w:rFonts w:hint="eastAsia" w:ascii="宋体"/>
                <w:b/>
                <w:color w:val="000000"/>
                <w:szCs w:val="21"/>
                <w:lang w:val="en-US" w:eastAsia="zh-CN"/>
              </w:rPr>
              <w:t>2-03日</w:t>
            </w:r>
          </w:p>
        </w:tc>
      </w:tr>
    </w:tbl>
    <w:p>
      <w:pPr>
        <w:spacing w:before="156" w:beforeLines="50" w:line="360" w:lineRule="exact"/>
        <w:rPr>
          <w:rFonts w:ascii="宋体"/>
          <w:b/>
          <w:color w:val="000000"/>
          <w:szCs w:val="21"/>
          <w:highlight w:val="none"/>
        </w:rPr>
      </w:pPr>
    </w:p>
    <w:p>
      <w:pPr>
        <w:widowControl/>
        <w:jc w:val="left"/>
        <w:rPr>
          <w:rFonts w:ascii="宋体"/>
          <w:b/>
          <w:color w:val="000000"/>
          <w:szCs w:val="21"/>
          <w:highlight w:val="none"/>
        </w:rPr>
      </w:pPr>
      <w:r>
        <w:rPr>
          <w:rFonts w:hint="eastAsia" w:ascii="宋体" w:hAnsi="宋体"/>
          <w:b/>
          <w:color w:val="000000"/>
          <w:szCs w:val="21"/>
          <w:highlight w:val="none"/>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val="de-DE"/>
              </w:rPr>
              <w:t>■</w:t>
            </w:r>
            <w:r>
              <w:rPr>
                <w:rFonts w:ascii="宋体" w:hAnsi="宋体"/>
                <w:b/>
                <w:color w:val="000000"/>
                <w:szCs w:val="21"/>
              </w:rPr>
              <w:t>EMS/</w:t>
            </w:r>
            <w:r>
              <w:rPr>
                <w:rFonts w:hint="eastAsia" w:ascii="宋体" w:hAnsi="宋体"/>
                <w:b/>
                <w:color w:val="00000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val="de-DE"/>
              </w:rPr>
              <w:t>■</w:t>
            </w:r>
            <w:r>
              <w:rPr>
                <w:rFonts w:ascii="宋体" w:hAnsi="宋体"/>
                <w:b/>
                <w:color w:val="000000"/>
                <w:szCs w:val="21"/>
              </w:rPr>
              <w:t>EMS/</w:t>
            </w:r>
            <w:r>
              <w:rPr>
                <w:rFonts w:hint="eastAsia" w:ascii="宋体" w:hAnsi="宋体"/>
                <w:b/>
                <w:color w:val="00000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环形钢筋混凝土电杆、钢筋混凝土</w:t>
            </w:r>
            <w:r>
              <w:rPr>
                <w:rFonts w:hint="eastAsia"/>
                <w:lang w:val="en-US" w:eastAsia="zh-CN"/>
              </w:rPr>
              <w:t>排水管</w:t>
            </w:r>
            <w:r>
              <w:t>的生产及销售所涉及场所的相关环境管理活动</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环形钢筋混凝土电杆、钢筋混凝土</w:t>
            </w:r>
            <w:r>
              <w:rPr>
                <w:rFonts w:hint="eastAsia"/>
                <w:lang w:val="en-US" w:eastAsia="zh-CN"/>
              </w:rPr>
              <w:t>排水管</w:t>
            </w:r>
            <w:r>
              <w:t>的生产及销售所涉及场所的相关职业健康安全管理活动</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4335780</wp:posOffset>
            </wp:positionH>
            <wp:positionV relativeFrom="paragraph">
              <wp:posOffset>309245</wp:posOffset>
            </wp:positionV>
            <wp:extent cx="719455" cy="605790"/>
            <wp:effectExtent l="0" t="0" r="12065" b="3810"/>
            <wp:wrapNone/>
            <wp:docPr id="7" name="图片 86"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6" descr="伍光华"/>
                    <pic:cNvPicPr>
                      <a:picLocks noChangeAspect="1"/>
                    </pic:cNvPicPr>
                  </pic:nvPicPr>
                  <pic:blipFill>
                    <a:blip r:embed="rId6"/>
                    <a:stretch>
                      <a:fillRect/>
                    </a:stretch>
                  </pic:blipFill>
                  <pic:spPr>
                    <a:xfrm>
                      <a:off x="0" y="0"/>
                      <a:ext cx="719455" cy="6057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hAnsi="宋体"/>
          <w:b/>
          <w:color w:val="000000"/>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1845945</wp:posOffset>
            </wp:positionH>
            <wp:positionV relativeFrom="paragraph">
              <wp:posOffset>12700</wp:posOffset>
            </wp:positionV>
            <wp:extent cx="332105" cy="255270"/>
            <wp:effectExtent l="0" t="0" r="3175" b="3810"/>
            <wp:wrapNone/>
            <wp:docPr id="5"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3" descr="577475f2d71659eed95b546a81c2d41"/>
                    <pic:cNvPicPr>
                      <a:picLocks noChangeAspect="1"/>
                    </pic:cNvPicPr>
                  </pic:nvPicPr>
                  <pic:blipFill>
                    <a:blip r:embed="rId7"/>
                    <a:stretch>
                      <a:fillRect/>
                    </a:stretch>
                  </pic:blipFill>
                  <pic:spPr>
                    <a:xfrm>
                      <a:off x="0" y="0"/>
                      <a:ext cx="332105" cy="25527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pStyle w:val="2"/>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pStyle w:val="2"/>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826135</wp:posOffset>
                  </wp:positionH>
                  <wp:positionV relativeFrom="paragraph">
                    <wp:posOffset>26035</wp:posOffset>
                  </wp:positionV>
                  <wp:extent cx="384810" cy="295910"/>
                  <wp:effectExtent l="0" t="0" r="11430" b="8890"/>
                  <wp:wrapNone/>
                  <wp:docPr id="8"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3" descr="577475f2d71659eed95b546a81c2d41"/>
                          <pic:cNvPicPr>
                            <a:picLocks noChangeAspect="1"/>
                          </pic:cNvPicPr>
                        </pic:nvPicPr>
                        <pic:blipFill>
                          <a:blip r:embed="rId7"/>
                          <a:stretch>
                            <a:fillRect/>
                          </a:stretch>
                        </pic:blipFill>
                        <pic:spPr>
                          <a:xfrm>
                            <a:off x="0" y="0"/>
                            <a:ext cx="384810" cy="29591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b/>
                <w:color w:val="000000"/>
                <w:szCs w:val="21"/>
                <w:lang w:val="de-DE"/>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vertAlign w:val="baseline"/>
                <w:lang w:val="en-US" w:eastAsia="zh-CN"/>
              </w:rPr>
              <w:drawing>
                <wp:anchor distT="0" distB="0" distL="114300" distR="114300" simplePos="0" relativeHeight="251664384" behindDoc="0" locked="0" layoutInCell="1" allowOverlap="1">
                  <wp:simplePos x="0" y="0"/>
                  <wp:positionH relativeFrom="column">
                    <wp:posOffset>597535</wp:posOffset>
                  </wp:positionH>
                  <wp:positionV relativeFrom="paragraph">
                    <wp:posOffset>6985</wp:posOffset>
                  </wp:positionV>
                  <wp:extent cx="384810" cy="295910"/>
                  <wp:effectExtent l="0" t="0" r="11430" b="8890"/>
                  <wp:wrapNone/>
                  <wp:docPr id="9"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3" descr="577475f2d71659eed95b546a81c2d41"/>
                          <pic:cNvPicPr>
                            <a:picLocks noChangeAspect="1"/>
                          </pic:cNvPicPr>
                        </pic:nvPicPr>
                        <pic:blipFill>
                          <a:blip r:embed="rId7"/>
                          <a:stretch>
                            <a:fillRect/>
                          </a:stretch>
                        </pic:blipFill>
                        <pic:spPr>
                          <a:xfrm>
                            <a:off x="0" y="0"/>
                            <a:ext cx="384810" cy="29591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pStyle w:val="2"/>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5110480</wp:posOffset>
              </wp:positionH>
              <wp:positionV relativeFrom="paragraph">
                <wp:posOffset>144145</wp:posOffset>
              </wp:positionV>
              <wp:extent cx="1032510" cy="256540"/>
              <wp:effectExtent l="0" t="0" r="3810" b="2540"/>
              <wp:wrapNone/>
              <wp:docPr id="2" name="文本框 1"/>
              <wp:cNvGraphicFramePr/>
              <a:graphic xmlns:a="http://schemas.openxmlformats.org/drawingml/2006/main">
                <a:graphicData uri="http://schemas.microsoft.com/office/word/2010/wordprocessingShape">
                  <wps:wsp>
                    <wps:cNvSpPr txBox="1"/>
                    <wps:spPr>
                      <a:xfrm>
                        <a:off x="0" y="0"/>
                        <a:ext cx="10325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wps:txbx>
                    <wps:bodyPr upright="1"/>
                  </wps:wsp>
                </a:graphicData>
              </a:graphic>
            </wp:anchor>
          </w:drawing>
        </mc:Choice>
        <mc:Fallback>
          <w:pict>
            <v:shape id="文本框 1" o:spid="_x0000_s1026" o:spt="202" type="#_x0000_t202" style="position:absolute;left:0pt;margin-left:402.4pt;margin-top:11.35pt;height:20.2pt;width:81.3pt;z-index:251659264;mso-width-relative:page;mso-height-relative:page;" fillcolor="#FFFFFF" filled="t" stroked="f" coordsize="21600,21600" o:gfxdata="UEsDBAoAAAAAAIdO4kAAAAAAAAAAAAAAAAAEAAAAZHJzL1BLAwQUAAAACACHTuJAOiFnHdcAAAAJ&#10;AQAADwAAAGRycy9kb3ducmV2LnhtbE2PwU7DMBBE70j8g7VIXBC1E0LShmwqgQTi2tIP2MRuEhGv&#10;o9ht2r/HnOA4mtHMm2p7saM4m9kPjhGSlQJhuHV64A7h8PX+uAbhA7Gm0bFBuBoP2/r2pqJSu4V3&#10;5rwPnYgl7EtC6EOYSil92xtLfuUmw9E7utlSiHLupJ5pieV2lKlSubQ0cFzoaTJvvWm/9yeLcPxc&#10;Hp43S/MRDsUuy19pKBp3Rby/S9QLiGAu4S8Mv/gRHerI1LgTay9GhLXKInpASNMCRAxs8iID0SDk&#10;TwnIupL/H9Q/UEsDBBQAAAAIAIdO4kApao6YwQEAAHcDAAAOAAAAZHJzL2Uyb0RvYy54bWytU8GO&#10;0zAQvSPxD5bvNGmgKxQ1XQmqckGAtPABruMklmyP5XGb9AfgDzhx4c539TsYO90uLJc9kENiz7x5&#10;nvfGWd9O1rCjCqjBNXy5KDlTTkKrXd/wL593L15zhlG4VhhwquEnhfx28/zZevS1qmAA06rAiMRh&#10;PfqGDzH6uihQDsoKXIBXjpIdBCsibUNftEGMxG5NUZXlTTFCaH0AqRApup2T/MIYnkIIXael2oI8&#10;WOXizBqUEZEk4aA98k3utuuUjB+7DlVkpuGkNOY3HULrfXoXm7Wo+yD8oOWlBfGUFh5pskI7OvRK&#10;tRVRsEPQ/1BZLQMgdHEhwRazkOwIqViWj7y5G4RXWQtZjf5qOv4/Wvnh+Ckw3Ta84swJSwM/f/92&#10;/vHr/PMrWyZ7Ro81oe484eL0Bia6NPdxpGBSPXXBpi/pYZQnc09Xc9UUmUxF5ctqtaSUpFy1ulm9&#10;yu4XD9U+YHynwLK0aHig4WVPxfE9RuqEoPeQdBiC0e1OG5M3od+/NYEdBQ16l5/UJJX8BTMugR2k&#10;sjmdIkXSOGtJqzjtp4vwPbQn0n3wQfcD9ZSVZzjNI9Nf7k4a+J/7TPrwv2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ohZx3XAAAACQEAAA8AAAAAAAAAAQAgAAAAIgAAAGRycy9kb3ducmV2Lnht&#10;bFBLAQIUABQAAAAIAIdO4kApao6YwQEAAHcDAAAOAAAAAAAAAAEAIAAAACY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mc:Fallback>
      </mc:AlternateConten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2U4Y2Q5MGE2Mzc1MDlkNDVmNzZkYmRlMTYyYjcifQ=="/>
  </w:docVars>
  <w:rsids>
    <w:rsidRoot w:val="00000000"/>
    <w:rsid w:val="04877EA0"/>
    <w:rsid w:val="15255E17"/>
    <w:rsid w:val="1D325075"/>
    <w:rsid w:val="22C16B40"/>
    <w:rsid w:val="27BA1EC0"/>
    <w:rsid w:val="2AE16305"/>
    <w:rsid w:val="30F90F44"/>
    <w:rsid w:val="37A551A8"/>
    <w:rsid w:val="3DDE2E5D"/>
    <w:rsid w:val="416A2B13"/>
    <w:rsid w:val="4E890D1E"/>
    <w:rsid w:val="50111B7F"/>
    <w:rsid w:val="66E55512"/>
    <w:rsid w:val="67063270"/>
    <w:rsid w:val="69C80742"/>
    <w:rsid w:val="71F80EDE"/>
    <w:rsid w:val="7A935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5277</Words>
  <Characters>5956</Characters>
  <Lines>67</Lines>
  <Paragraphs>18</Paragraphs>
  <TotalTime>1</TotalTime>
  <ScaleCrop>false</ScaleCrop>
  <LinksUpToDate>false</LinksUpToDate>
  <CharactersWithSpaces>6044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2022-09-09T07:55:14Z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DE78EF6A4D6F446D81E101A0C979417B</vt:lpwstr>
  </property>
  <property fmtid="{D5CDD505-2E9C-101B-9397-08002B2CF9AE}" pid="3" name="KSOProductBuildVer">
    <vt:lpwstr>2052-11.1.0.12313</vt:lpwstr>
  </property>
</Properties>
</file>