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11"/>
        <w:gridCol w:w="205"/>
        <w:gridCol w:w="86"/>
        <w:gridCol w:w="1004"/>
        <w:gridCol w:w="765"/>
        <w:gridCol w:w="931"/>
        <w:gridCol w:w="256"/>
        <w:gridCol w:w="93"/>
        <w:gridCol w:w="20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重庆伯仲物流有限公司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重庆市沙坪坝区西部现代物流园垄安大道传化公路物流港零担仓库L409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重庆市沙坪坝区垄安大道120号维龙沙坪坝物流园A2号仓库/办公楼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刘安辉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13368090878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刘安辉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0468-2020-QEO-2022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许可范围内的普通货运。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许可范围内的普通货运所涉及的相关环境管理活动。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许可范围内的普通货运所涉及的相关职业健康安全管理活动。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31.04.01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OHSMS: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2022年09月02日 上午至2022年09月03日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58420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8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3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3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60"/>
        <w:gridCol w:w="810"/>
        <w:gridCol w:w="654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(午餐时间12:00-12:30)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543" w:type="dxa"/>
          </w:tcPr>
          <w:p>
            <w:pPr>
              <w:snapToGrid w:val="0"/>
              <w:spacing w:line="240" w:lineRule="exact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QMS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总则；7.1.2人员；7.1.6组织知识；9.1.1监测、分析和评价总则；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9.1.3分析和评价；</w:t>
            </w:r>
            <w:r>
              <w:rPr>
                <w:rFonts w:hint="eastAsia"/>
                <w:color w:val="auto"/>
                <w:sz w:val="18"/>
                <w:szCs w:val="18"/>
              </w:rPr>
              <w:t>9.3管理评审；10.1改进 总则；10.3持续改进</w:t>
            </w:r>
          </w:p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EMS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组织及其环境;4.2相关方需求与期望;4.3确定体系范围;4.4体系;5.1领导作用与承诺;5.2方针;5.3组织的角色、职责和权限；5.4工作人员的协商和参与；6.1应对风险和机遇的措施6.1.4措施的策划；</w:t>
            </w:r>
            <w:r>
              <w:rPr>
                <w:rFonts w:hint="eastAsia"/>
                <w:color w:val="auto"/>
                <w:sz w:val="18"/>
                <w:szCs w:val="18"/>
              </w:rPr>
              <w:t>6.2目标及其实现的策划；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7.1资源；9.1监视、测量、分析和评价；9.3管理评审；10.1事件、不符合和纠正措施；10.2持续改进。</w:t>
            </w:r>
          </w:p>
          <w:p>
            <w:pPr>
              <w:pStyle w:val="2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范围的确认，资质的确认，法律法规执行情况，投诉或事故/政府主管部门监督抽查情况，上次不符合项（行政部E:8.1/货运部O:8.1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条款）的验证。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(午餐时间12:00-12:30)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货运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43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位/职责/权限；6.2质量目标及其实现的策划；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7.1.3基础设施；7.1.4过程运行环境；7.1.5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8.5.4防护；8.5.5交付后的活动；8.5.6更改控制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6.2目标及其达成的策划；6.1.2环境因素；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上次审核不符合项验证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6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行政部（含财务）</w:t>
            </w:r>
          </w:p>
        </w:tc>
        <w:tc>
          <w:tcPr>
            <w:tcW w:w="654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/权限；6.2质量目标及其实现的策划；7.2能力；7.3意识；7.4沟通；7.5文件化信息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9.2内部审核；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5.3组织的角色、职责和权限；6.2目标及其达成的策划；6.1.2环境因素；6.1.3合规义务；7.2能力；7.3意识；7.4沟通；7.5文件化信息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上次审核不符合项验证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；8.2应急准备和响应；9.1监视、测量、分析与评估；9.1.2符合性评估；9.2内部审核/EMS运行控制相关财务支出证据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6.2目标及其实现的策划；7.2能力；7.3意识；7.4沟通；7.5文件化信息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9.2内部审核/OHSMS运行控制财务支出证据。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行政部（含财务）</w:t>
            </w:r>
          </w:p>
        </w:tc>
        <w:tc>
          <w:tcPr>
            <w:tcW w:w="654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A4C64D2"/>
    <w:rsid w:val="172A6BDF"/>
    <w:rsid w:val="49CD5922"/>
    <w:rsid w:val="4A03261E"/>
    <w:rsid w:val="5AA73DC8"/>
    <w:rsid w:val="756F6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2309</Words>
  <Characters>3318</Characters>
  <Lines>37</Lines>
  <Paragraphs>10</Paragraphs>
  <TotalTime>5</TotalTime>
  <ScaleCrop>false</ScaleCrop>
  <LinksUpToDate>false</LinksUpToDate>
  <CharactersWithSpaces>3381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2022-09-02T01:51:50Z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