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0883-2021-Q-2022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绵阳腾昀科技有限公司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绵阳腾昀科技有限公司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四川省绵阳市经开区塘汛镇塘坊大道677号3栋1层E区（积家工业园内）</w:t>
            </w:r>
            <w:bookmarkEnd w:id="6"/>
          </w:p>
        </w:tc>
        <w:tc>
          <w:tcPr>
            <w:tcW w:w="1242" w:type="dxa"/>
            <w:vMerge w:val="restart"/>
            <w:vAlign w:val="center"/>
          </w:tcPr>
          <w:p>
            <w:r>
              <w:rPr>
                <w:rFonts w:hint="eastAsia"/>
              </w:rPr>
              <w:t>邮编</w:t>
            </w:r>
          </w:p>
        </w:tc>
        <w:tc>
          <w:tcPr>
            <w:tcW w:w="1771" w:type="dxa"/>
          </w:tcPr>
          <w:p>
            <w:bookmarkStart w:id="7" w:name="注册邮编"/>
            <w:r>
              <w:t>621000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四川省绵阳市经开区塘汛镇塘坊大道677号3栋1层E区（积家工业园内）</w:t>
            </w:r>
            <w:bookmarkEnd w:id="8"/>
          </w:p>
        </w:tc>
        <w:tc>
          <w:tcPr>
            <w:tcW w:w="1242" w:type="dxa"/>
            <w:vMerge w:val="continue"/>
            <w:vAlign w:val="center"/>
          </w:tcPr>
          <w:p/>
        </w:tc>
        <w:tc>
          <w:tcPr>
            <w:tcW w:w="1771" w:type="dxa"/>
          </w:tcPr>
          <w:p>
            <w:bookmarkStart w:id="9" w:name="办公邮编"/>
            <w:r>
              <w:t>621000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宁剑清</w:t>
            </w:r>
            <w:bookmarkEnd w:id="10"/>
          </w:p>
        </w:tc>
        <w:tc>
          <w:tcPr>
            <w:tcW w:w="1313" w:type="dxa"/>
            <w:vAlign w:val="center"/>
          </w:tcPr>
          <w:p>
            <w:r>
              <w:rPr>
                <w:rFonts w:hint="eastAsia"/>
              </w:rPr>
              <w:t>电话.</w:t>
            </w:r>
          </w:p>
        </w:tc>
        <w:tc>
          <w:tcPr>
            <w:tcW w:w="2180" w:type="dxa"/>
            <w:vAlign w:val="center"/>
          </w:tcPr>
          <w:p>
            <w:bookmarkStart w:id="11" w:name="联系人电话"/>
            <w:r>
              <w:t>15308331980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669" w:type="dxa"/>
            <w:vAlign w:val="center"/>
          </w:tcPr>
          <w:p>
            <w:r>
              <w:rPr>
                <w:rFonts w:hint="eastAsia"/>
              </w:rPr>
              <w:t>法人代表</w:t>
            </w:r>
          </w:p>
        </w:tc>
        <w:tc>
          <w:tcPr>
            <w:tcW w:w="1552" w:type="dxa"/>
          </w:tcPr>
          <w:p>
            <w:pPr>
              <w:rPr>
                <w:rFonts w:hint="eastAsia"/>
              </w:rPr>
            </w:pPr>
            <w:bookmarkStart w:id="13" w:name="法人"/>
            <w:r>
              <w:rPr>
                <w:rFonts w:hint="eastAsia"/>
              </w:rPr>
              <w:t>谢潇霞</w:t>
            </w:r>
            <w:bookmarkEnd w:id="13"/>
          </w:p>
        </w:tc>
        <w:tc>
          <w:tcPr>
            <w:tcW w:w="1313" w:type="dxa"/>
            <w:vAlign w:val="center"/>
          </w:tcPr>
          <w:p>
            <w:pPr>
              <w:rPr>
                <w:rFonts w:hint="eastAsia"/>
              </w:rPr>
            </w:pPr>
            <w:r>
              <w:rPr>
                <w:rFonts w:hint="eastAsia"/>
              </w:rPr>
              <w:t>管理者代表</w:t>
            </w:r>
          </w:p>
        </w:tc>
        <w:tc>
          <w:tcPr>
            <w:tcW w:w="2180" w:type="dxa"/>
          </w:tcPr>
          <w:p>
            <w:pPr>
              <w:rPr>
                <w:rFonts w:hint="eastAsia"/>
              </w:rPr>
            </w:pPr>
            <w:bookmarkStart w:id="14" w:name="管理者代表"/>
            <w:r>
              <w:rPr>
                <w:rFonts w:hint="eastAsia"/>
              </w:rPr>
              <w:t>张彤</w:t>
            </w:r>
            <w:bookmarkEnd w:id="14"/>
          </w:p>
        </w:tc>
        <w:tc>
          <w:tcPr>
            <w:tcW w:w="1242" w:type="dxa"/>
          </w:tcPr>
          <w:p>
            <w:pPr>
              <w:rPr>
                <w:rFonts w:hint="eastAsia"/>
              </w:rPr>
            </w:pPr>
            <w:r>
              <w:rPr>
                <w:rFonts w:hint="eastAsia"/>
              </w:rPr>
              <w:t>邮箱</w:t>
            </w:r>
          </w:p>
        </w:tc>
        <w:tc>
          <w:tcPr>
            <w:tcW w:w="177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rPr>
            </w:pPr>
            <w:r>
              <w:rPr>
                <w:rFonts w:hint="eastAsia"/>
              </w:rPr>
              <w:t>多班次说明</w:t>
            </w:r>
          </w:p>
        </w:tc>
        <w:tc>
          <w:tcPr>
            <w:tcW w:w="8058" w:type="dxa"/>
            <w:gridSpan w:val="5"/>
            <w:shd w:val="clear" w:color="auto" w:fill="auto"/>
          </w:tcPr>
          <w:p>
            <w:pPr>
              <w:rPr>
                <w:rFonts w:hint="eastAsia"/>
              </w:rPr>
            </w:pPr>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sz w:val="24"/>
                <w:lang w:eastAsia="zh-CN"/>
              </w:rPr>
            </w:pPr>
            <w:r>
              <w:drawing>
                <wp:inline distT="0" distB="0" distL="114300" distR="114300">
                  <wp:extent cx="2058670" cy="2221230"/>
                  <wp:effectExtent l="0" t="0" r="17780" b="7620"/>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6"/>
                          <a:stretch>
                            <a:fillRect/>
                          </a:stretch>
                        </pic:blipFill>
                        <pic:spPr>
                          <a:xfrm>
                            <a:off x="0" y="0"/>
                            <a:ext cx="2058670" cy="222123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771650" cy="2310130"/>
                  <wp:effectExtent l="0" t="0" r="0" b="1397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7"/>
                          <a:stretch>
                            <a:fillRect/>
                          </a:stretch>
                        </pic:blipFill>
                        <pic:spPr>
                          <a:xfrm>
                            <a:off x="0" y="0"/>
                            <a:ext cx="1771650" cy="2310130"/>
                          </a:xfrm>
                          <a:prstGeom prst="rect">
                            <a:avLst/>
                          </a:prstGeom>
                          <a:noFill/>
                          <a:ln>
                            <a:noFill/>
                          </a:ln>
                        </pic:spPr>
                      </pic:pic>
                    </a:graphicData>
                  </a:graphic>
                </wp:inline>
              </w:drawing>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2022年09月03日 上午至2022年09月03日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四川省绵阳市经开区塘汛镇塘坊大道677号3栋1层E区（积家工业园内）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金属制品（用于散热器、铜排、汇流条）的生产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17.09.00;17.10.01;17.10.02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A3"/>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01</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08</w:t>
            </w:r>
            <w:r>
              <w:rPr>
                <w:rFonts w:hint="eastAsia"/>
              </w:rPr>
              <w:t>月</w:t>
            </w:r>
            <w:r>
              <w:rPr>
                <w:rFonts w:hint="eastAsia"/>
                <w:lang w:val="en-US" w:eastAsia="zh-CN"/>
              </w:rPr>
              <w:t>22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highlight w:val="none"/>
              </w:rPr>
              <w:t>有效至</w:t>
            </w:r>
            <w:r>
              <w:rPr>
                <w:rFonts w:hint="eastAsia"/>
                <w:highlight w:val="none"/>
                <w:lang w:val="en-US" w:eastAsia="zh-CN"/>
              </w:rPr>
              <w:t>2024</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1</w:t>
            </w:r>
            <w:r>
              <w:rPr>
                <w:rFonts w:hint="eastAsia"/>
                <w:highlight w:val="none"/>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绵阳腾昀科技有限公司</w:t>
            </w:r>
            <w:r>
              <w:rPr>
                <w:rFonts w:hint="eastAsia"/>
                <w:lang w:val="en-US" w:eastAsia="zh-CN"/>
              </w:rPr>
              <w:t>/</w:t>
            </w:r>
            <w:r>
              <w:t>四川省绵阳市经开区塘汛镇塘坊大道677号3栋1层E区（积家工业园内）</w:t>
            </w:r>
          </w:p>
        </w:tc>
        <w:tc>
          <w:tcPr>
            <w:tcW w:w="2267" w:type="dxa"/>
          </w:tcPr>
          <w:p>
            <w:pPr>
              <w:rPr>
                <w:lang w:val="de-DE" w:eastAsia="ja-JP"/>
              </w:rPr>
            </w:pPr>
            <w:r>
              <w:t>四川省绵阳市经开区塘汛镇塘坊大道677号3栋1层E区（积家工业园内）</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t>金属制品（用于散热器、铜排、汇流条）的生产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组长</w:t>
            </w:r>
          </w:p>
        </w:tc>
        <w:tc>
          <w:tcPr>
            <w:tcW w:w="711" w:type="dxa"/>
            <w:vAlign w:val="center"/>
          </w:tcPr>
          <w:p>
            <w:r>
              <w:t>女</w:t>
            </w:r>
          </w:p>
        </w:tc>
        <w:tc>
          <w:tcPr>
            <w:tcW w:w="3870" w:type="dxa"/>
            <w:vAlign w:val="center"/>
          </w:tcPr>
          <w:p>
            <w:r>
              <w:t>2020-N1QMS-1263525</w:t>
            </w:r>
          </w:p>
        </w:tc>
        <w:tc>
          <w:tcPr>
            <w:tcW w:w="2179" w:type="dxa"/>
            <w:vAlign w:val="center"/>
          </w:tcPr>
          <w:p>
            <w:r>
              <w:t>17.09.00,17.10.01,17.10.02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highlight w:val="yellow"/>
              </w:rPr>
            </w:pPr>
          </w:p>
          <w:p>
            <w:r>
              <w:drawing>
                <wp:anchor distT="0" distB="0" distL="114300" distR="114300" simplePos="0" relativeHeight="251661312" behindDoc="0" locked="0" layoutInCell="1" allowOverlap="1">
                  <wp:simplePos x="0" y="0"/>
                  <wp:positionH relativeFrom="column">
                    <wp:posOffset>-405765</wp:posOffset>
                  </wp:positionH>
                  <wp:positionV relativeFrom="paragraph">
                    <wp:posOffset>4367530</wp:posOffset>
                  </wp:positionV>
                  <wp:extent cx="839470" cy="410210"/>
                  <wp:effectExtent l="0" t="0" r="17780"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839470" cy="410210"/>
                          </a:xfrm>
                          <a:prstGeom prst="rect">
                            <a:avLst/>
                          </a:prstGeom>
                          <a:noFill/>
                          <a:ln>
                            <a:noFill/>
                          </a:ln>
                        </pic:spPr>
                      </pic:pic>
                    </a:graphicData>
                  </a:graphic>
                </wp:anchor>
              </w:drawing>
            </w:r>
          </w:p>
        </w:tc>
        <w:tc>
          <w:tcPr>
            <w:tcW w:w="2764" w:type="dxa"/>
            <w:tcMar>
              <w:left w:w="113" w:type="dxa"/>
            </w:tcMar>
          </w:tcPr>
          <w:p>
            <w:pPr>
              <w:rPr>
                <w:rFonts w:hint="default" w:eastAsia="宋体"/>
                <w:lang w:val="en-US" w:eastAsia="zh-CN"/>
              </w:rPr>
            </w:pPr>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2022.09.03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sym w:font="Wingdings 2" w:char="00A3"/>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w:t>
            </w:r>
            <w:r>
              <w:rPr>
                <w:rFonts w:hint="eastAsia"/>
                <w:b/>
                <w:bCs/>
                <w:highlight w:val="none"/>
              </w:rPr>
              <w:t>根据实际情况选择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□新产品设计开发□原材料订制</w:t>
            </w:r>
            <w:r>
              <w:rPr>
                <w:rFonts w:hint="eastAsia"/>
                <w:highlight w:val="none"/>
              </w:rPr>
              <w:sym w:font="Wingdings 2" w:char="0052"/>
            </w:r>
            <w:r>
              <w:rPr>
                <w:rFonts w:hint="eastAsia"/>
                <w:highlight w:val="none"/>
              </w:rPr>
              <w:t>生产/服务过程□检验检测□产品运输□设备维修</w:t>
            </w:r>
          </w:p>
          <w:p>
            <w:pPr>
              <w:shd w:val="clear" w:color="auto" w:fill="C7DAF1" w:themeFill="text2" w:themeFillTint="32"/>
              <w:spacing w:before="40" w:after="40"/>
              <w:rPr>
                <w:highlight w:val="none"/>
              </w:rPr>
            </w:pPr>
            <w:r>
              <w:rPr>
                <w:rFonts w:hint="eastAsia"/>
                <w:highlight w:val="none"/>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pStyle w:val="7"/>
              <w:spacing w:before="0" w:beforeAutospacing="0" w:after="0" w:afterAutospacing="0" w:line="500" w:lineRule="exact"/>
              <w:rPr>
                <w:rFonts w:hint="eastAsia" w:ascii="Times New Roman" w:hAnsi="Times New Roman" w:eastAsia="宋体" w:cs="Times New Roman"/>
                <w:kern w:val="2"/>
                <w:sz w:val="21"/>
                <w:szCs w:val="24"/>
                <w:highlight w:val="none"/>
                <w:u w:val="single"/>
                <w:lang w:val="en-US" w:eastAsia="zh-CN" w:bidi="ar-SA"/>
              </w:rPr>
            </w:pPr>
            <w:r>
              <w:rPr>
                <w:rFonts w:hint="eastAsia" w:ascii="Times New Roman" w:hAnsi="Times New Roman" w:eastAsia="宋体" w:cs="Times New Roman"/>
                <w:kern w:val="2"/>
                <w:sz w:val="21"/>
                <w:szCs w:val="24"/>
                <w:lang w:val="en-GB" w:eastAsia="zh-CN" w:bidi="ar-SA"/>
              </w:rPr>
              <w:t>最高管理者制定了文件化的管理体系方针：</w:t>
            </w:r>
            <w:r>
              <w:rPr>
                <w:rFonts w:hint="eastAsia" w:ascii="Times New Roman" w:hAnsi="Times New Roman" w:eastAsia="宋体" w:cs="Times New Roman"/>
                <w:kern w:val="2"/>
                <w:sz w:val="21"/>
                <w:szCs w:val="24"/>
                <w:highlight w:val="none"/>
                <w:u w:val="single"/>
                <w:lang w:val="en-GB" w:eastAsia="zh-CN" w:bidi="ar-SA"/>
              </w:rPr>
              <w:t>质量为本，信誉第一，服务至上，</w:t>
            </w:r>
            <w:r>
              <w:rPr>
                <w:rFonts w:hint="eastAsia" w:ascii="Times New Roman" w:hAnsi="Times New Roman" w:eastAsia="宋体" w:cs="Times New Roman"/>
                <w:kern w:val="2"/>
                <w:sz w:val="21"/>
                <w:szCs w:val="24"/>
                <w:highlight w:val="none"/>
                <w:u w:val="single"/>
                <w:lang w:val="en-US" w:eastAsia="zh-CN" w:bidi="ar-SA"/>
              </w:rPr>
              <w:t>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2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highlight w:val="none"/>
              </w:rPr>
              <w:t>——</w:t>
            </w:r>
            <w:r>
              <w:rPr>
                <w:rFonts w:hint="eastAsia"/>
                <w:highlight w:val="none"/>
                <w:lang w:eastAsia="zh-CN"/>
              </w:rPr>
              <w:t>行政人事部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highlight w:val="none"/>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vAlign w:val="top"/>
                </w:tcPr>
                <w:p>
                  <w:pPr>
                    <w:shd w:val="clear" w:color="auto" w:fill="C7DAF1" w:themeFill="text2" w:themeFillTint="32"/>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vAlign w:val="top"/>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1、由业务部人员每个月对收集信息进行评价并整理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302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shd w:val="clear" w:color="auto" w:fill="auto"/>
                </w:tcPr>
                <w:p>
                  <w:pPr>
                    <w:shd w:val="clear" w:color="auto" w:fill="C7DAF1" w:themeFill="text2" w:themeFillTint="32"/>
                    <w:rPr>
                      <w:rFonts w:ascii="宋体" w:hAnsi="宋体"/>
                    </w:rPr>
                  </w:pPr>
                  <w:r>
                    <w:rPr>
                      <w:rFonts w:hint="eastAsia" w:ascii="宋体" w:hAnsi="宋体"/>
                      <w:highlight w:val="none"/>
                    </w:rPr>
                    <w:t>质量目标</w:t>
                  </w:r>
                </w:p>
              </w:tc>
              <w:tc>
                <w:tcPr>
                  <w:tcW w:w="302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val="en-US" w:eastAsia="zh-CN"/>
                    </w:rPr>
                    <w:t>产品一次合格率达95%以上；</w:t>
                  </w:r>
                </w:p>
              </w:tc>
              <w:tc>
                <w:tcPr>
                  <w:tcW w:w="3022" w:type="dxa"/>
                  <w:shd w:val="clear" w:color="auto" w:fill="auto"/>
                  <w:vAlign w:val="center"/>
                </w:tcPr>
                <w:p>
                  <w:pPr>
                    <w:shd w:val="clear" w:color="auto" w:fill="C7DAF1" w:themeFill="text2" w:themeFillTint="32"/>
                    <w:rPr>
                      <w:lang w:val="en-GB"/>
                    </w:rPr>
                  </w:pPr>
                  <w:r>
                    <w:rPr>
                      <w:rFonts w:hint="eastAsia" w:ascii="宋体" w:hAnsi="宋体" w:eastAsia="宋体" w:cs="宋体"/>
                      <w:sz w:val="21"/>
                      <w:szCs w:val="21"/>
                      <w:lang w:val="en-US" w:eastAsia="zh-CN"/>
                    </w:rPr>
                    <w:t>产品出厂合格数/产品出厂总数×100%</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shd w:val="clear" w:color="auto" w:fill="auto"/>
                </w:tcPr>
                <w:p>
                  <w:pPr>
                    <w:shd w:val="clear" w:color="auto" w:fill="C7DAF1" w:themeFill="text2" w:themeFillTint="32"/>
                    <w:rPr>
                      <w:rFonts w:hint="eastAsia" w:ascii="宋体" w:hAnsi="宋体" w:eastAsia="宋体" w:cs="Times New Roman"/>
                      <w:highlight w:val="yellow"/>
                    </w:rPr>
                  </w:pPr>
                  <w:r>
                    <w:rPr>
                      <w:rFonts w:hint="eastAsia" w:ascii="宋体" w:hAnsi="宋体" w:eastAsia="宋体" w:cs="Times New Roman"/>
                      <w:highlight w:val="none"/>
                      <w:lang w:val="en-US" w:eastAsia="zh-CN"/>
                    </w:rPr>
                    <w:t>产品出厂合格率达到100%；</w:t>
                  </w:r>
                </w:p>
              </w:tc>
              <w:tc>
                <w:tcPr>
                  <w:tcW w:w="3022" w:type="dxa"/>
                  <w:shd w:val="clear" w:color="auto" w:fill="auto"/>
                  <w:vAlign w:val="center"/>
                </w:tcPr>
                <w:p>
                  <w:pPr>
                    <w:shd w:val="clear" w:color="auto" w:fill="C7DAF1" w:themeFill="text2" w:themeFillTint="32"/>
                    <w:rPr>
                      <w:rFonts w:ascii="宋体" w:hAnsi="宋体"/>
                      <w:highlight w:val="yellow"/>
                    </w:rPr>
                  </w:pPr>
                  <w:r>
                    <w:rPr>
                      <w:rFonts w:hint="eastAsia" w:ascii="宋体" w:hAnsi="宋体" w:eastAsia="宋体" w:cs="宋体"/>
                      <w:sz w:val="21"/>
                      <w:szCs w:val="21"/>
                      <w:lang w:val="en-US" w:eastAsia="zh-CN"/>
                    </w:rPr>
                    <w:t>产品出厂合格数/产品出厂总数×100%</w:t>
                  </w:r>
                </w:p>
              </w:tc>
              <w:tc>
                <w:tcPr>
                  <w:tcW w:w="1350" w:type="dxa"/>
                  <w:shd w:val="clear" w:color="auto" w:fill="auto"/>
                  <w:vAlign w:val="center"/>
                </w:tcPr>
                <w:p>
                  <w:pPr>
                    <w:shd w:val="clear" w:color="auto" w:fill="C7DAF1" w:themeFill="text2" w:themeFillTint="32"/>
                    <w:rPr>
                      <w:rFonts w:hint="eastAsia" w:ascii="宋体" w:hAnsi="宋体" w:eastAsia="宋体"/>
                      <w:highlight w:val="yellow"/>
                      <w:lang w:eastAsia="zh-CN"/>
                    </w:rPr>
                  </w:pPr>
                  <w:r>
                    <w:rPr>
                      <w:rFonts w:hint="eastAsia" w:ascii="宋体" w:hAnsi="宋体"/>
                      <w:highlight w:val="none"/>
                      <w:lang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yellow"/>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5"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val="en-US" w:eastAsia="zh-CN"/>
                    </w:rPr>
                    <w:t>顾客满意率达90%以上</w:t>
                  </w:r>
                </w:p>
              </w:tc>
              <w:tc>
                <w:tcPr>
                  <w:tcW w:w="3022"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sz w:val="21"/>
                      <w:szCs w:val="21"/>
                      <w:lang w:val="en-US" w:eastAsia="zh-CN"/>
                    </w:rPr>
                    <w:t>调查顾客满意数/调查总数×100%</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shd w:val="clear" w:color="auto" w:fill="auto"/>
                </w:tcPr>
                <w:p>
                  <w:pPr>
                    <w:shd w:val="clear" w:color="auto" w:fill="C7DAF1" w:themeFill="text2" w:themeFillTint="32"/>
                  </w:pPr>
                </w:p>
              </w:tc>
              <w:tc>
                <w:tcPr>
                  <w:tcW w:w="3022"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shd w:val="clear" w:color="auto" w:fill="auto"/>
                </w:tcPr>
                <w:p>
                  <w:pPr>
                    <w:shd w:val="clear" w:color="auto" w:fill="C7DAF1" w:themeFill="text2" w:themeFillTint="32"/>
                  </w:pPr>
                </w:p>
              </w:tc>
              <w:tc>
                <w:tcPr>
                  <w:tcW w:w="3022"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lang w:val="en-US" w:eastAsia="zh-CN"/>
              </w:rPr>
              <w:t>1081</w:t>
            </w:r>
            <w:r>
              <w:rPr>
                <w:rFonts w:hint="eastAsia"/>
                <w:highlight w:val="none"/>
              </w:rPr>
              <w:t>平方米；生产车间</w:t>
            </w:r>
            <w:r>
              <w:rPr>
                <w:rFonts w:hint="eastAsia"/>
                <w:highlight w:val="none"/>
                <w:lang w:val="en-US" w:eastAsia="zh-CN"/>
              </w:rPr>
              <w:t>1</w:t>
            </w:r>
            <w:r>
              <w:rPr>
                <w:rFonts w:hint="eastAsia"/>
                <w:highlight w:val="none"/>
              </w:rPr>
              <w:t>个；库房个；实验室</w:t>
            </w:r>
            <w:r>
              <w:rPr>
                <w:rFonts w:hint="eastAsia"/>
                <w:highlight w:val="none"/>
                <w:lang w:val="en-US" w:eastAsia="zh-CN"/>
              </w:rPr>
              <w:t>1</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主要生产设备有：普通冲床</w:t>
            </w:r>
            <w:r>
              <w:rPr>
                <w:rFonts w:hint="eastAsia"/>
                <w:highlight w:val="none"/>
                <w:lang w:eastAsia="zh-CN"/>
              </w:rPr>
              <w:t>、</w:t>
            </w:r>
            <w:r>
              <w:rPr>
                <w:rFonts w:hint="eastAsia"/>
                <w:highlight w:val="none"/>
              </w:rPr>
              <w:t>数控剪板机</w:t>
            </w:r>
            <w:r>
              <w:rPr>
                <w:rFonts w:hint="eastAsia"/>
                <w:highlight w:val="none"/>
                <w:lang w:eastAsia="zh-CN"/>
              </w:rPr>
              <w:t>、</w:t>
            </w:r>
            <w:r>
              <w:rPr>
                <w:rFonts w:hint="eastAsia"/>
                <w:highlight w:val="none"/>
              </w:rPr>
              <w:t>数控折弯机</w:t>
            </w:r>
            <w:r>
              <w:rPr>
                <w:rFonts w:hint="eastAsia"/>
                <w:highlight w:val="none"/>
                <w:lang w:eastAsia="zh-CN"/>
              </w:rPr>
              <w:t>等</w:t>
            </w:r>
            <w:r>
              <w:rPr>
                <w:rFonts w:hint="eastAsia"/>
                <w:highlight w:val="none"/>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rPr>
              <w:sym w:font="Wingdings 2" w:char="00A3"/>
            </w:r>
            <w:r>
              <w:rPr>
                <w:rFonts w:hint="eastAsia"/>
              </w:rPr>
              <w:t>服务流程检查表</w:t>
            </w:r>
            <w:r>
              <w:rPr>
                <w:rFonts w:hint="eastAsia"/>
              </w:rPr>
              <w:sym w:font="Wingdings 2" w:char="00A3"/>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rPr>
              <w:sym w:font="Wingdings 2" w:char="0052"/>
            </w:r>
            <w:r>
              <w:rPr>
                <w:rFonts w:hint="eastAsia"/>
              </w:rPr>
              <w:t>外校</w:t>
            </w:r>
          </w:p>
          <w:p>
            <w:pPr>
              <w:shd w:val="clear" w:color="auto" w:fill="C7DAF1" w:themeFill="text2" w:themeFillTint="32"/>
              <w:rPr>
                <w:highlight w:val="none"/>
                <w:u w:val="single"/>
              </w:rPr>
            </w:pPr>
            <w:r>
              <w:rPr>
                <w:rFonts w:hint="eastAsia"/>
              </w:rPr>
              <w:t>国家强检的计量器具有：</w:t>
            </w:r>
            <w:r>
              <w:rPr>
                <w:rFonts w:hint="eastAsia"/>
                <w:highlight w:val="none"/>
                <w:u w:val="single"/>
              </w:rPr>
              <w:t xml:space="preserve"> </w:t>
            </w:r>
            <w:r>
              <w:rPr>
                <w:rFonts w:hint="eastAsia" w:ascii="Times New Roman" w:hAnsi="Times New Roman" w:eastAsia="宋体" w:cs="Times New Roman"/>
                <w:highlight w:val="none"/>
                <w:u w:val="single"/>
                <w:lang w:val="en-US" w:eastAsia="zh-CN"/>
              </w:rPr>
              <w:t>机械带表卡尺、</w:t>
            </w:r>
            <w:r>
              <w:rPr>
                <w:rFonts w:hint="eastAsia" w:ascii="Times New Roman" w:hAnsi="Times New Roman" w:eastAsia="宋体" w:cs="Times New Roman"/>
                <w:highlight w:val="none"/>
                <w:u w:val="single"/>
              </w:rPr>
              <w:t>金属韦氏硬度计</w:t>
            </w:r>
            <w:r>
              <w:rPr>
                <w:rFonts w:hint="eastAsia" w:ascii="Times New Roman" w:hAnsi="Times New Roman" w:eastAsia="宋体" w:cs="Times New Roman"/>
                <w:highlight w:val="none"/>
                <w:u w:val="single"/>
                <w:lang w:eastAsia="zh-CN"/>
              </w:rPr>
              <w:t>、</w:t>
            </w:r>
            <w:r>
              <w:rPr>
                <w:rFonts w:hint="eastAsia" w:ascii="Times New Roman" w:hAnsi="Times New Roman" w:eastAsia="宋体" w:cs="Times New Roman"/>
                <w:highlight w:val="none"/>
                <w:u w:val="single"/>
              </w:rPr>
              <w:t>千分尺</w:t>
            </w:r>
            <w:r>
              <w:rPr>
                <w:rFonts w:hint="eastAsia" w:ascii="Times New Roman" w:hAnsi="Times New Roman" w:eastAsia="宋体" w:cs="Times New Roman"/>
                <w:highlight w:val="none"/>
                <w:u w:val="single"/>
                <w:lang w:eastAsia="zh-CN"/>
              </w:rPr>
              <w:t>、</w:t>
            </w:r>
            <w:r>
              <w:rPr>
                <w:rFonts w:hint="eastAsia" w:ascii="Times New Roman" w:hAnsi="Times New Roman" w:eastAsia="宋体" w:cs="Times New Roman"/>
                <w:highlight w:val="none"/>
                <w:u w:val="single"/>
                <w:lang w:val="en-US" w:eastAsia="zh-CN"/>
              </w:rPr>
              <w:t>数显扭力扳手、巴士硬度计、涡牛测厚仪等</w:t>
            </w:r>
            <w:r>
              <w:rPr>
                <w:rFonts w:hint="eastAsia"/>
                <w:highlight w:val="none"/>
                <w:u w:val="single"/>
              </w:rPr>
              <w:t>（列举1~4种）</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yellow"/>
                    </w:rPr>
                  </w:pPr>
                  <w:r>
                    <w:rPr>
                      <w:rFonts w:hint="eastAsia"/>
                      <w:highlight w:val="none"/>
                    </w:rPr>
                    <w:t>产品/服务名称</w:t>
                  </w:r>
                </w:p>
              </w:tc>
              <w:tc>
                <w:tcPr>
                  <w:tcW w:w="3665" w:type="dxa"/>
                </w:tcPr>
                <w:p>
                  <w:pPr>
                    <w:shd w:val="clear" w:color="auto" w:fill="C7DAF1" w:themeFill="text2" w:themeFillTint="32"/>
                    <w:jc w:val="left"/>
                    <w:rPr>
                      <w:highlight w:val="yellow"/>
                    </w:rPr>
                  </w:pPr>
                  <w:r>
                    <w:rPr>
                      <w:rFonts w:hint="eastAsia"/>
                      <w:highlight w:val="none"/>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hAnsi="宋体" w:cs="宋体"/>
                      <w:iCs/>
                      <w:szCs w:val="21"/>
                      <w:highlight w:val="none"/>
                      <w:lang w:val="en-US" w:eastAsia="zh-CN"/>
                    </w:rPr>
                    <w:t>电镀雾锡</w:t>
                  </w:r>
                </w:p>
              </w:tc>
              <w:tc>
                <w:tcPr>
                  <w:tcW w:w="3665" w:type="dxa"/>
                </w:tcPr>
                <w:p>
                  <w:pPr>
                    <w:shd w:val="clear" w:color="auto" w:fill="C7DAF1" w:themeFill="text2" w:themeFillTint="32"/>
                    <w:jc w:val="left"/>
                    <w:rPr>
                      <w:rFonts w:hint="eastAsia" w:eastAsia="宋体"/>
                      <w:lang w:eastAsia="zh-CN"/>
                    </w:rPr>
                  </w:pPr>
                  <w:r>
                    <w:rPr>
                      <w:rFonts w:hint="eastAsia"/>
                      <w:lang w:eastAsia="zh-CN"/>
                    </w:rPr>
                    <w:t>表面处理</w:t>
                  </w:r>
                </w:p>
              </w:tc>
              <w:tc>
                <w:tcPr>
                  <w:tcW w:w="3265" w:type="dxa"/>
                </w:tcPr>
                <w:p>
                  <w:pPr>
                    <w:shd w:val="clear" w:color="auto" w:fill="C7DAF1" w:themeFill="text2" w:themeFillTint="32"/>
                    <w:jc w:val="left"/>
                    <w:rPr>
                      <w:rFonts w:hint="eastAsia" w:eastAsia="宋体"/>
                      <w:lang w:eastAsia="zh-CN"/>
                    </w:rPr>
                  </w:pPr>
                  <w:r>
                    <w:rPr>
                      <w:rFonts w:hint="eastAsia"/>
                      <w:lang w:eastAsia="zh-CN"/>
                    </w:rPr>
                    <w:t>外观、膜层厚度、温度、盐雾试验等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需要确认的过程：需要确认的过程：</w:t>
            </w:r>
            <w:r>
              <w:rPr>
                <w:rFonts w:hint="eastAsia"/>
                <w:u w:val="single"/>
              </w:rPr>
              <w:t xml:space="preserve">   </w:t>
            </w:r>
            <w:r>
              <w:rPr>
                <w:rFonts w:hint="eastAsia"/>
                <w:u w:val="single"/>
                <w:lang w:val="en-US" w:eastAsia="zh-CN"/>
              </w:rPr>
              <w:t>表面处理</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r>
              <w:rPr>
                <w:rFonts w:hint="eastAsia" w:ascii="Wingdings" w:hAnsi="Wingdings"/>
              </w:rPr>
              <w:t>¨</w:t>
            </w:r>
            <w:r>
              <w:rPr>
                <w:rFonts w:hint="eastAsia" w:ascii="Wingdings" w:hAnsi="Wingdings"/>
                <w:highlight w:val="none"/>
                <w:lang w:eastAsia="zh-CN"/>
              </w:rPr>
              <w:sym w:font="Wingdings 2" w:char="0052"/>
            </w:r>
            <w:r>
              <w:rPr>
                <w:rFonts w:hint="eastAsia"/>
                <w:highlight w:val="none"/>
              </w:rPr>
              <w:t>进行了有效的确认</w:t>
            </w:r>
            <w:r>
              <w:rPr>
                <w:rFonts w:hint="eastAsia" w:ascii="Wingdings" w:hAnsi="Wingdings"/>
                <w:highlight w:val="none"/>
                <w:lang w:eastAsia="zh-CN"/>
              </w:rPr>
              <w:t>□</w:t>
            </w:r>
            <w:r>
              <w:rPr>
                <w:rFonts w:hint="eastAsia"/>
                <w:highlight w:val="none"/>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highlight w:val="none"/>
                <w:lang w:eastAsia="zh-CN"/>
              </w:rPr>
              <w:sym w:font="Wingdings 2" w:char="0052"/>
            </w:r>
            <w:r>
              <w:rPr>
                <w:rFonts w:hint="eastAsia"/>
              </w:rPr>
              <w:t>符合要求</w:t>
            </w:r>
            <w:r>
              <w:rPr>
                <w:rFonts w:hint="eastAsia" w:ascii="Wingdings" w:hAnsi="Wingdings"/>
                <w:highlight w:val="none"/>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06</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17</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07</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04</w:t>
            </w:r>
            <w:r>
              <w:rPr>
                <w:rFonts w:hint="eastAsia"/>
                <w:highlight w:val="none"/>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rPr>
                <w:u w:val="single"/>
              </w:rPr>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default" w:eastAsia="宋体"/>
                <w:lang w:val="en-US" w:eastAsia="zh-CN"/>
              </w:rPr>
            </w:pP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bookmarkStart w:id="34" w:name="_GoBack"/>
            <w:bookmarkEnd w:id="34"/>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6"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文本框 1"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r5ivd1wAAAAkBAAAPAAAAAAAAAAEAIAAAACIAAABkcnMvZG93bnJldi54&#10;bWxQSwECFAAUAAAACACHTuJAeExST8IBAAB3AwAADgAAAAAAAAABACAAAAAmAQAAZHJzL2Uyb0Rv&#10;Yy54bWxQSwUGAAAAAAYABgBZAQAAWgU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Y2M4Nzg0MTlhZTI0MTIwY2MxNGYzOGYwMDdmNzkifQ=="/>
  </w:docVars>
  <w:rsids>
    <w:rsidRoot w:val="00000000"/>
    <w:rsid w:val="005E4401"/>
    <w:rsid w:val="01CA216C"/>
    <w:rsid w:val="0CD33D14"/>
    <w:rsid w:val="0EED3AB5"/>
    <w:rsid w:val="10284B3A"/>
    <w:rsid w:val="11B15B60"/>
    <w:rsid w:val="12355B01"/>
    <w:rsid w:val="157553B2"/>
    <w:rsid w:val="1BEF2AA3"/>
    <w:rsid w:val="24675677"/>
    <w:rsid w:val="263E5052"/>
    <w:rsid w:val="2B976F30"/>
    <w:rsid w:val="2E5A3623"/>
    <w:rsid w:val="36017203"/>
    <w:rsid w:val="3A400CF5"/>
    <w:rsid w:val="3DF56301"/>
    <w:rsid w:val="40F51B9F"/>
    <w:rsid w:val="49A07007"/>
    <w:rsid w:val="50F87DCF"/>
    <w:rsid w:val="56165E5A"/>
    <w:rsid w:val="66AC3716"/>
    <w:rsid w:val="6DBF3816"/>
    <w:rsid w:val="7F9A2D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18611</Words>
  <Characters>19319</Characters>
  <Lines>150</Lines>
  <Paragraphs>42</Paragraphs>
  <TotalTime>10</TotalTime>
  <ScaleCrop>false</ScaleCrop>
  <LinksUpToDate>false</LinksUpToDate>
  <CharactersWithSpaces>19440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杨庆</cp:lastModifiedBy>
  <cp:lastPrinted>2019-05-13T03:19:00Z</cp:lastPrinted>
  <dcterms:modified xsi:type="dcterms:W3CDTF">2022-09-13T15:12:04Z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FBE01A69E3A645A787A9225C09ACD0F7</vt:lpwstr>
  </property>
  <property fmtid="{D5CDD505-2E9C-101B-9397-08002B2CF9AE}" pid="3" name="KSOProductBuildVer">
    <vt:lpwstr>2052-11.1.0.12358</vt:lpwstr>
  </property>
</Properties>
</file>