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8F" w:rsidRDefault="0034797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41"/>
        <w:gridCol w:w="21"/>
        <w:gridCol w:w="256"/>
        <w:gridCol w:w="290"/>
        <w:gridCol w:w="684"/>
        <w:gridCol w:w="69"/>
        <w:gridCol w:w="1380"/>
      </w:tblGrid>
      <w:tr w:rsidR="000E2B8F">
        <w:trPr>
          <w:trHeight w:val="557"/>
        </w:trPr>
        <w:tc>
          <w:tcPr>
            <w:tcW w:w="1142" w:type="dxa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四川奎能环保科技有限公司</w:t>
            </w:r>
            <w:bookmarkEnd w:id="0"/>
          </w:p>
        </w:tc>
      </w:tr>
      <w:tr w:rsidR="000E2B8F">
        <w:trPr>
          <w:trHeight w:val="557"/>
        </w:trPr>
        <w:tc>
          <w:tcPr>
            <w:tcW w:w="1142" w:type="dxa"/>
            <w:vAlign w:val="center"/>
          </w:tcPr>
          <w:p w:rsidR="000E2B8F" w:rsidRDefault="00347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0E2B8F" w:rsidRDefault="0034797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成都市新都区新都大道</w:t>
            </w:r>
            <w:r>
              <w:rPr>
                <w:rFonts w:asciiTheme="minorEastAsia" w:eastAsiaTheme="minorEastAsia" w:hAnsiTheme="minorEastAsia"/>
                <w:sz w:val="20"/>
              </w:rPr>
              <w:t>8</w:t>
            </w:r>
            <w:r>
              <w:rPr>
                <w:rFonts w:asciiTheme="minorEastAsia" w:eastAsiaTheme="minorEastAsia" w:hAnsiTheme="minorEastAsia"/>
                <w:sz w:val="20"/>
              </w:rPr>
              <w:t>号西南石油大学科技园大厦</w:t>
            </w:r>
            <w:r>
              <w:rPr>
                <w:rFonts w:asciiTheme="minorEastAsia" w:eastAsiaTheme="minorEastAsia" w:hAnsiTheme="minorEastAsia"/>
                <w:sz w:val="20"/>
              </w:rPr>
              <w:t>1204AB</w:t>
            </w:r>
            <w:bookmarkEnd w:id="1"/>
          </w:p>
        </w:tc>
      </w:tr>
      <w:tr w:rsidR="000E2B8F">
        <w:trPr>
          <w:trHeight w:val="557"/>
        </w:trPr>
        <w:tc>
          <w:tcPr>
            <w:tcW w:w="1142" w:type="dxa"/>
            <w:vAlign w:val="center"/>
          </w:tcPr>
          <w:p w:rsidR="000E2B8F" w:rsidRDefault="00347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0E2B8F" w:rsidRDefault="0034797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成都市新都区新都大道</w:t>
            </w:r>
            <w:r>
              <w:rPr>
                <w:rFonts w:asciiTheme="minorEastAsia" w:eastAsiaTheme="minorEastAsia" w:hAnsiTheme="minorEastAsia"/>
                <w:sz w:val="20"/>
              </w:rPr>
              <w:t>8</w:t>
            </w:r>
            <w:r>
              <w:rPr>
                <w:rFonts w:asciiTheme="minorEastAsia" w:eastAsiaTheme="minorEastAsia" w:hAnsiTheme="minorEastAsia"/>
                <w:sz w:val="20"/>
              </w:rPr>
              <w:t>号西南石油大学科技园大厦</w:t>
            </w:r>
            <w:r>
              <w:rPr>
                <w:rFonts w:asciiTheme="minorEastAsia" w:eastAsiaTheme="minorEastAsia" w:hAnsiTheme="minorEastAsia"/>
                <w:sz w:val="20"/>
              </w:rPr>
              <w:t>1204AB</w:t>
            </w:r>
            <w:bookmarkEnd w:id="2"/>
          </w:p>
        </w:tc>
      </w:tr>
      <w:tr w:rsidR="000E2B8F">
        <w:trPr>
          <w:trHeight w:val="557"/>
        </w:trPr>
        <w:tc>
          <w:tcPr>
            <w:tcW w:w="1142" w:type="dxa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汪显朋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15982413963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0E2B8F" w:rsidRDefault="00347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0E2B8F">
        <w:trPr>
          <w:trHeight w:val="557"/>
        </w:trPr>
        <w:tc>
          <w:tcPr>
            <w:tcW w:w="1142" w:type="dxa"/>
            <w:vAlign w:val="center"/>
          </w:tcPr>
          <w:p w:rsidR="000E2B8F" w:rsidRDefault="0034797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0E2B8F" w:rsidRDefault="00347975">
            <w:bookmarkStart w:id="6" w:name="最高管理者"/>
            <w:bookmarkEnd w:id="6"/>
            <w:r>
              <w:rPr>
                <w:rFonts w:hint="eastAsia"/>
              </w:rPr>
              <w:t>张太亮</w:t>
            </w:r>
          </w:p>
        </w:tc>
        <w:tc>
          <w:tcPr>
            <w:tcW w:w="1090" w:type="dxa"/>
            <w:gridSpan w:val="2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0E2B8F" w:rsidRDefault="000E2B8F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0E2B8F" w:rsidRDefault="00347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</w:tr>
      <w:tr w:rsidR="000E2B8F">
        <w:trPr>
          <w:trHeight w:val="418"/>
        </w:trPr>
        <w:tc>
          <w:tcPr>
            <w:tcW w:w="1142" w:type="dxa"/>
            <w:vAlign w:val="center"/>
          </w:tcPr>
          <w:p w:rsidR="000E2B8F" w:rsidRDefault="0034797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0E2B8F" w:rsidRDefault="0034797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0599-2022-QEO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0E2B8F" w:rsidRDefault="0034797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0E2B8F" w:rsidRDefault="00347975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0E2B8F" w:rsidRDefault="00347975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E2B8F">
        <w:trPr>
          <w:trHeight w:val="455"/>
        </w:trPr>
        <w:tc>
          <w:tcPr>
            <w:tcW w:w="1142" w:type="dxa"/>
            <w:vAlign w:val="center"/>
          </w:tcPr>
          <w:p w:rsidR="000E2B8F" w:rsidRDefault="0034797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0E2B8F" w:rsidRDefault="00347975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0E2B8F">
        <w:trPr>
          <w:trHeight w:val="455"/>
        </w:trPr>
        <w:tc>
          <w:tcPr>
            <w:tcW w:w="1142" w:type="dxa"/>
          </w:tcPr>
          <w:p w:rsidR="000E2B8F" w:rsidRDefault="0034797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0E2B8F" w:rsidRDefault="00347975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E2B8F">
        <w:trPr>
          <w:trHeight w:val="455"/>
        </w:trPr>
        <w:tc>
          <w:tcPr>
            <w:tcW w:w="1142" w:type="dxa"/>
          </w:tcPr>
          <w:p w:rsidR="000E2B8F" w:rsidRDefault="0034797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0E2B8F" w:rsidRDefault="0034797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0E2B8F">
        <w:trPr>
          <w:trHeight w:val="455"/>
        </w:trPr>
        <w:tc>
          <w:tcPr>
            <w:tcW w:w="1142" w:type="dxa"/>
          </w:tcPr>
          <w:p w:rsidR="000E2B8F" w:rsidRDefault="0034797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0E2B8F" w:rsidRDefault="0034797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0E2B8F">
        <w:trPr>
          <w:trHeight w:val="990"/>
        </w:trPr>
        <w:tc>
          <w:tcPr>
            <w:tcW w:w="1142" w:type="dxa"/>
            <w:vAlign w:val="center"/>
          </w:tcPr>
          <w:p w:rsidR="000E2B8F" w:rsidRDefault="00347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0E2B8F" w:rsidRDefault="003479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0E2B8F" w:rsidRDefault="003479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0E2B8F" w:rsidRDefault="003479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0E2B8F" w:rsidRDefault="003479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0E2B8F" w:rsidRDefault="003479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0E2B8F" w:rsidRDefault="0034797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0E2B8F" w:rsidRDefault="0034797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0E2B8F" w:rsidTr="00B01AF0">
        <w:trPr>
          <w:trHeight w:val="1263"/>
        </w:trPr>
        <w:tc>
          <w:tcPr>
            <w:tcW w:w="1142" w:type="dxa"/>
            <w:vAlign w:val="center"/>
          </w:tcPr>
          <w:p w:rsidR="000E2B8F" w:rsidRDefault="00347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79" w:type="dxa"/>
            <w:gridSpan w:val="7"/>
            <w:vAlign w:val="center"/>
          </w:tcPr>
          <w:p w:rsidR="000E2B8F" w:rsidRDefault="00347975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：环境污染治理技术服务（固体废物处理处置、水污染治理）（资质范围内）</w:t>
            </w:r>
          </w:p>
          <w:p w:rsidR="000E2B8F" w:rsidRDefault="00347975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：环境污染治理技术服务（固体废物处理处置、水污染治理）（资质范围内）所涉及场所的相关环境管理活动</w:t>
            </w:r>
          </w:p>
          <w:p w:rsidR="000E2B8F" w:rsidRDefault="00347975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：环境污染治理技术服务（固体废物处理处置、水污染治理）（资质范围内）所涉及场所的相关职业健康安全管理活动</w:t>
            </w:r>
            <w:bookmarkEnd w:id="24"/>
          </w:p>
        </w:tc>
        <w:tc>
          <w:tcPr>
            <w:tcW w:w="567" w:type="dxa"/>
            <w:gridSpan w:val="3"/>
            <w:vAlign w:val="center"/>
          </w:tcPr>
          <w:p w:rsidR="000E2B8F" w:rsidRDefault="00347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E2B8F" w:rsidRDefault="00347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3"/>
            <w:vAlign w:val="center"/>
          </w:tcPr>
          <w:p w:rsidR="000E2B8F" w:rsidRDefault="00347975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39.01.00;39.03.01</w:t>
            </w:r>
          </w:p>
          <w:p w:rsidR="000E2B8F" w:rsidRDefault="00347975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39.01.00;39.03.01</w:t>
            </w:r>
          </w:p>
          <w:p w:rsidR="000E2B8F" w:rsidRDefault="00347975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39.01.00;39.03.01</w:t>
            </w:r>
            <w:bookmarkEnd w:id="25"/>
          </w:p>
        </w:tc>
      </w:tr>
      <w:tr w:rsidR="000E2B8F">
        <w:trPr>
          <w:trHeight w:val="1184"/>
        </w:trPr>
        <w:tc>
          <w:tcPr>
            <w:tcW w:w="1142" w:type="dxa"/>
            <w:vAlign w:val="center"/>
          </w:tcPr>
          <w:p w:rsidR="000E2B8F" w:rsidRDefault="00347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0E2B8F" w:rsidRDefault="0034797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0E2B8F" w:rsidRDefault="0034797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0E2B8F" w:rsidRDefault="0034797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0E2B8F" w:rsidRDefault="0034797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0E2B8F" w:rsidRDefault="0034797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0E2B8F" w:rsidRDefault="0034797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0E2B8F" w:rsidRDefault="0034797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E2B8F">
        <w:trPr>
          <w:trHeight w:val="430"/>
        </w:trPr>
        <w:tc>
          <w:tcPr>
            <w:tcW w:w="1142" w:type="dxa"/>
            <w:vMerge w:val="restart"/>
            <w:vAlign w:val="center"/>
          </w:tcPr>
          <w:p w:rsidR="000E2B8F" w:rsidRDefault="00347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0E2B8F" w:rsidRDefault="003479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 w:rsidR="000E2B8F">
        <w:trPr>
          <w:trHeight w:val="465"/>
        </w:trPr>
        <w:tc>
          <w:tcPr>
            <w:tcW w:w="1142" w:type="dxa"/>
            <w:vMerge/>
            <w:vAlign w:val="center"/>
          </w:tcPr>
          <w:p w:rsidR="000E2B8F" w:rsidRDefault="000E2B8F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0E2B8F" w:rsidRDefault="003479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E2B8F">
        <w:trPr>
          <w:trHeight w:val="465"/>
        </w:trPr>
        <w:tc>
          <w:tcPr>
            <w:tcW w:w="1142" w:type="dxa"/>
            <w:vAlign w:val="center"/>
          </w:tcPr>
          <w:p w:rsidR="000E2B8F" w:rsidRDefault="00347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0E2B8F" w:rsidRDefault="003479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0E2B8F">
        <w:trPr>
          <w:trHeight w:val="465"/>
        </w:trPr>
        <w:tc>
          <w:tcPr>
            <w:tcW w:w="10321" w:type="dxa"/>
            <w:gridSpan w:val="14"/>
            <w:vAlign w:val="center"/>
          </w:tcPr>
          <w:p w:rsidR="000E2B8F" w:rsidRDefault="003479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0E2B8F">
        <w:trPr>
          <w:trHeight w:val="465"/>
        </w:trPr>
        <w:tc>
          <w:tcPr>
            <w:tcW w:w="1142" w:type="dxa"/>
            <w:vAlign w:val="center"/>
          </w:tcPr>
          <w:p w:rsidR="000E2B8F" w:rsidRDefault="0034797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0E2B8F" w:rsidRDefault="0034797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E2B8F">
        <w:trPr>
          <w:trHeight w:val="465"/>
        </w:trPr>
        <w:tc>
          <w:tcPr>
            <w:tcW w:w="1142" w:type="dxa"/>
            <w:vAlign w:val="center"/>
          </w:tcPr>
          <w:p w:rsidR="000E2B8F" w:rsidRDefault="003479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3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Q:39.01.00,39.03.01</w:t>
            </w:r>
          </w:p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E:39.01.00,39.03.01</w:t>
            </w:r>
          </w:p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O:39.01.00,39.03.01</w:t>
            </w:r>
          </w:p>
        </w:tc>
        <w:tc>
          <w:tcPr>
            <w:tcW w:w="1299" w:type="dxa"/>
            <w:gridSpan w:val="4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0E2B8F" w:rsidRDefault="000E2B8F">
            <w:pPr>
              <w:rPr>
                <w:sz w:val="20"/>
                <w:lang w:val="de-DE"/>
              </w:rPr>
            </w:pPr>
          </w:p>
        </w:tc>
      </w:tr>
      <w:tr w:rsidR="000E2B8F">
        <w:trPr>
          <w:trHeight w:val="465"/>
        </w:trPr>
        <w:tc>
          <w:tcPr>
            <w:tcW w:w="1142" w:type="dxa"/>
            <w:vAlign w:val="center"/>
          </w:tcPr>
          <w:p w:rsidR="000E2B8F" w:rsidRDefault="003479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3"/>
            <w:vAlign w:val="center"/>
          </w:tcPr>
          <w:p w:rsidR="000E2B8F" w:rsidRDefault="000E2B8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 w:rsidR="000E2B8F" w:rsidRDefault="000E2B8F">
            <w:pPr>
              <w:rPr>
                <w:sz w:val="20"/>
                <w:lang w:val="de-DE"/>
              </w:rPr>
            </w:pPr>
          </w:p>
        </w:tc>
      </w:tr>
      <w:tr w:rsidR="000E2B8F">
        <w:trPr>
          <w:trHeight w:val="465"/>
        </w:trPr>
        <w:tc>
          <w:tcPr>
            <w:tcW w:w="1142" w:type="dxa"/>
            <w:vAlign w:val="center"/>
          </w:tcPr>
          <w:p w:rsidR="000E2B8F" w:rsidRDefault="003479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3"/>
            <w:vAlign w:val="center"/>
          </w:tcPr>
          <w:p w:rsidR="000E2B8F" w:rsidRDefault="000E2B8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E2B8F" w:rsidRDefault="0034797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0E2B8F" w:rsidRDefault="000E2B8F">
            <w:pPr>
              <w:rPr>
                <w:sz w:val="20"/>
                <w:lang w:val="de-DE"/>
              </w:rPr>
            </w:pPr>
          </w:p>
        </w:tc>
      </w:tr>
      <w:tr w:rsidR="000E2B8F">
        <w:trPr>
          <w:trHeight w:val="827"/>
        </w:trPr>
        <w:tc>
          <w:tcPr>
            <w:tcW w:w="1142" w:type="dxa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E2B8F" w:rsidRDefault="000E2B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E2B8F" w:rsidRDefault="000E2B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E2B8F" w:rsidRDefault="000E2B8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0E2B8F" w:rsidRDefault="000E2B8F">
            <w:pPr>
              <w:jc w:val="center"/>
              <w:rPr>
                <w:sz w:val="21"/>
                <w:szCs w:val="21"/>
              </w:rPr>
            </w:pPr>
          </w:p>
        </w:tc>
      </w:tr>
      <w:tr w:rsidR="000E2B8F">
        <w:trPr>
          <w:trHeight w:val="985"/>
        </w:trPr>
        <w:tc>
          <w:tcPr>
            <w:tcW w:w="1142" w:type="dxa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E2B8F" w:rsidRDefault="000E2B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E2B8F" w:rsidRDefault="000E2B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E2B8F" w:rsidRDefault="000E2B8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0E2B8F" w:rsidRDefault="000E2B8F">
            <w:pPr>
              <w:jc w:val="center"/>
              <w:rPr>
                <w:sz w:val="21"/>
                <w:szCs w:val="21"/>
              </w:rPr>
            </w:pPr>
          </w:p>
        </w:tc>
      </w:tr>
      <w:tr w:rsidR="000E2B8F">
        <w:trPr>
          <w:trHeight w:val="970"/>
        </w:trPr>
        <w:tc>
          <w:tcPr>
            <w:tcW w:w="1142" w:type="dxa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E2B8F" w:rsidRDefault="000E2B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E2B8F" w:rsidRDefault="000E2B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E2B8F" w:rsidRDefault="000E2B8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0E2B8F" w:rsidRDefault="000E2B8F">
            <w:pPr>
              <w:jc w:val="center"/>
              <w:rPr>
                <w:sz w:val="21"/>
                <w:szCs w:val="21"/>
              </w:rPr>
            </w:pPr>
          </w:p>
        </w:tc>
      </w:tr>
      <w:tr w:rsidR="000E2B8F">
        <w:trPr>
          <w:trHeight w:val="879"/>
        </w:trPr>
        <w:tc>
          <w:tcPr>
            <w:tcW w:w="1142" w:type="dxa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E2B8F" w:rsidRDefault="000E2B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E2B8F" w:rsidRDefault="000E2B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E2B8F" w:rsidRDefault="000E2B8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0E2B8F" w:rsidRDefault="000E2B8F">
            <w:pPr>
              <w:pStyle w:val="a5"/>
            </w:pPr>
          </w:p>
        </w:tc>
        <w:tc>
          <w:tcPr>
            <w:tcW w:w="1299" w:type="dxa"/>
            <w:gridSpan w:val="4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0E2B8F" w:rsidRDefault="000E2B8F">
            <w:pPr>
              <w:jc w:val="center"/>
              <w:rPr>
                <w:sz w:val="21"/>
                <w:szCs w:val="21"/>
              </w:rPr>
            </w:pPr>
          </w:p>
        </w:tc>
      </w:tr>
      <w:tr w:rsidR="000E2B8F">
        <w:trPr>
          <w:trHeight w:val="465"/>
        </w:trPr>
        <w:tc>
          <w:tcPr>
            <w:tcW w:w="10321" w:type="dxa"/>
            <w:gridSpan w:val="14"/>
            <w:vAlign w:val="center"/>
          </w:tcPr>
          <w:p w:rsidR="000E2B8F" w:rsidRDefault="003479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E2B8F">
        <w:trPr>
          <w:trHeight w:val="465"/>
        </w:trPr>
        <w:tc>
          <w:tcPr>
            <w:tcW w:w="1142" w:type="dxa"/>
            <w:vAlign w:val="center"/>
          </w:tcPr>
          <w:p w:rsidR="000E2B8F" w:rsidRDefault="0034797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0E2B8F" w:rsidRDefault="0034797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0E2B8F" w:rsidRDefault="0034797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0E2B8F" w:rsidRDefault="0034797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0E2B8F" w:rsidRDefault="0034797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E2B8F">
        <w:trPr>
          <w:trHeight w:val="567"/>
        </w:trPr>
        <w:tc>
          <w:tcPr>
            <w:tcW w:w="1142" w:type="dxa"/>
            <w:vAlign w:val="center"/>
          </w:tcPr>
          <w:p w:rsidR="000E2B8F" w:rsidRDefault="000E2B8F"/>
        </w:tc>
        <w:tc>
          <w:tcPr>
            <w:tcW w:w="1350" w:type="dxa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E2B8F" w:rsidRDefault="000E2B8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0E2B8F" w:rsidRDefault="000E2B8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0E2B8F" w:rsidRDefault="000E2B8F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E2B8F" w:rsidRDefault="000E2B8F"/>
        </w:tc>
        <w:tc>
          <w:tcPr>
            <w:tcW w:w="1380" w:type="dxa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</w:tr>
      <w:tr w:rsidR="000E2B8F">
        <w:trPr>
          <w:trHeight w:val="465"/>
        </w:trPr>
        <w:tc>
          <w:tcPr>
            <w:tcW w:w="1142" w:type="dxa"/>
            <w:vAlign w:val="center"/>
          </w:tcPr>
          <w:p w:rsidR="000E2B8F" w:rsidRDefault="000E2B8F"/>
        </w:tc>
        <w:tc>
          <w:tcPr>
            <w:tcW w:w="1350" w:type="dxa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E2B8F" w:rsidRDefault="000E2B8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0E2B8F" w:rsidRDefault="000E2B8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0E2B8F" w:rsidRDefault="000E2B8F"/>
        </w:tc>
        <w:tc>
          <w:tcPr>
            <w:tcW w:w="1299" w:type="dxa"/>
            <w:gridSpan w:val="4"/>
            <w:vAlign w:val="center"/>
          </w:tcPr>
          <w:p w:rsidR="000E2B8F" w:rsidRDefault="000E2B8F"/>
        </w:tc>
        <w:tc>
          <w:tcPr>
            <w:tcW w:w="1380" w:type="dxa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</w:tr>
      <w:tr w:rsidR="000E2B8F">
        <w:trPr>
          <w:trHeight w:val="729"/>
        </w:trPr>
        <w:tc>
          <w:tcPr>
            <w:tcW w:w="10321" w:type="dxa"/>
            <w:gridSpan w:val="14"/>
            <w:vAlign w:val="center"/>
          </w:tcPr>
          <w:p w:rsidR="000E2B8F" w:rsidRDefault="0034797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E2B8F">
        <w:trPr>
          <w:trHeight w:val="586"/>
        </w:trPr>
        <w:tc>
          <w:tcPr>
            <w:tcW w:w="1142" w:type="dxa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0E2B8F" w:rsidRDefault="00347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0E2B8F" w:rsidRDefault="003479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6"/>
            <w:vMerge w:val="restart"/>
            <w:vAlign w:val="center"/>
          </w:tcPr>
          <w:p w:rsidR="000E2B8F" w:rsidRDefault="00347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0E2B8F" w:rsidRDefault="003479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</w:tr>
      <w:tr w:rsidR="000E2B8F">
        <w:trPr>
          <w:trHeight w:val="509"/>
        </w:trPr>
        <w:tc>
          <w:tcPr>
            <w:tcW w:w="1142" w:type="dxa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0E2B8F" w:rsidRDefault="000E2B8F">
            <w:pPr>
              <w:rPr>
                <w:sz w:val="21"/>
                <w:szCs w:val="21"/>
              </w:rPr>
            </w:pPr>
          </w:p>
        </w:tc>
      </w:tr>
      <w:tr w:rsidR="000E2B8F">
        <w:trPr>
          <w:trHeight w:val="600"/>
        </w:trPr>
        <w:tc>
          <w:tcPr>
            <w:tcW w:w="1142" w:type="dxa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0E2B8F" w:rsidRDefault="0034797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0E2B8F" w:rsidRDefault="0034797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061" w:type="dxa"/>
            <w:gridSpan w:val="6"/>
            <w:vAlign w:val="center"/>
          </w:tcPr>
          <w:p w:rsidR="000E2B8F" w:rsidRDefault="0034797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0E2B8F" w:rsidRDefault="0034797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0E2B8F" w:rsidRDefault="000E2B8F">
      <w:pPr>
        <w:rPr>
          <w:rFonts w:hint="eastAsia"/>
        </w:rPr>
      </w:pPr>
    </w:p>
    <w:p w:rsidR="00B01AF0" w:rsidRPr="00B01AF0" w:rsidRDefault="00B01AF0" w:rsidP="00B01AF0">
      <w:pPr>
        <w:pStyle w:val="a0"/>
      </w:pPr>
    </w:p>
    <w:tbl>
      <w:tblPr>
        <w:tblpPr w:leftFromText="180" w:rightFromText="180" w:vertAnchor="text" w:horzAnchor="page" w:tblpX="872" w:tblpY="381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1467"/>
        <w:gridCol w:w="878"/>
        <w:gridCol w:w="5800"/>
        <w:gridCol w:w="1348"/>
      </w:tblGrid>
      <w:tr w:rsidR="000E2B8F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E2B8F" w:rsidRDefault="003479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lastRenderedPageBreak/>
              <w:t>审核日程安排</w:t>
            </w:r>
          </w:p>
        </w:tc>
      </w:tr>
      <w:tr w:rsidR="000E2B8F">
        <w:trPr>
          <w:cantSplit/>
          <w:trHeight w:val="396"/>
        </w:trPr>
        <w:tc>
          <w:tcPr>
            <w:tcW w:w="884" w:type="dxa"/>
            <w:tcBorders>
              <w:left w:val="single" w:sz="8" w:space="0" w:color="auto"/>
            </w:tcBorders>
            <w:vAlign w:val="center"/>
          </w:tcPr>
          <w:p w:rsidR="000E2B8F" w:rsidRDefault="003479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467" w:type="dxa"/>
            <w:vAlign w:val="center"/>
          </w:tcPr>
          <w:p w:rsidR="000E2B8F" w:rsidRDefault="003479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878" w:type="dxa"/>
            <w:vAlign w:val="center"/>
          </w:tcPr>
          <w:p w:rsidR="000E2B8F" w:rsidRDefault="003479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5800" w:type="dxa"/>
            <w:vAlign w:val="center"/>
          </w:tcPr>
          <w:p w:rsidR="000E2B8F" w:rsidRDefault="003479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1348" w:type="dxa"/>
            <w:tcBorders>
              <w:right w:val="single" w:sz="8" w:space="0" w:color="auto"/>
            </w:tcBorders>
            <w:vAlign w:val="center"/>
          </w:tcPr>
          <w:p w:rsidR="000E2B8F" w:rsidRDefault="003479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 w:rsidR="000E2B8F">
        <w:trPr>
          <w:cantSplit/>
          <w:trHeight w:val="159"/>
        </w:trPr>
        <w:tc>
          <w:tcPr>
            <w:tcW w:w="884" w:type="dxa"/>
            <w:vMerge w:val="restart"/>
            <w:tcBorders>
              <w:left w:val="single" w:sz="8" w:space="0" w:color="auto"/>
            </w:tcBorders>
            <w:vAlign w:val="center"/>
          </w:tcPr>
          <w:p w:rsidR="000E2B8F" w:rsidRDefault="000E2B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0E2B8F" w:rsidRDefault="000E2B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0E2B8F" w:rsidRDefault="000E2B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0E2B8F" w:rsidRDefault="000E2B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0E2B8F" w:rsidRDefault="000E2B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0E2B8F" w:rsidRDefault="000E2B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0E2B8F" w:rsidRDefault="000E2B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0E2B8F" w:rsidRDefault="003479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9</w:t>
            </w:r>
          </w:p>
          <w:p w:rsidR="000E2B8F" w:rsidRDefault="003479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 w:rsidR="000E2B8F" w:rsidRDefault="003479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</w:p>
          <w:p w:rsidR="000E2B8F" w:rsidRDefault="003479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  <w:p w:rsidR="000E2B8F" w:rsidRDefault="003479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（午餐时间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:00-13:00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467" w:type="dxa"/>
            <w:vAlign w:val="center"/>
          </w:tcPr>
          <w:p w:rsidR="000E2B8F" w:rsidRDefault="0034797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8: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678" w:type="dxa"/>
            <w:gridSpan w:val="2"/>
            <w:vAlign w:val="center"/>
          </w:tcPr>
          <w:p w:rsidR="000E2B8F" w:rsidRDefault="00347975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首次会议</w:t>
            </w:r>
          </w:p>
        </w:tc>
        <w:tc>
          <w:tcPr>
            <w:tcW w:w="1348" w:type="dxa"/>
            <w:tcBorders>
              <w:right w:val="single" w:sz="8" w:space="0" w:color="auto"/>
            </w:tcBorders>
            <w:vAlign w:val="center"/>
          </w:tcPr>
          <w:p w:rsidR="000E2B8F" w:rsidRDefault="00347975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审核组</w:t>
            </w:r>
            <w:r w:rsidR="002B0B65"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（微信视频）</w:t>
            </w:r>
          </w:p>
        </w:tc>
      </w:tr>
      <w:tr w:rsidR="000E2B8F">
        <w:trPr>
          <w:cantSplit/>
          <w:trHeight w:val="3657"/>
        </w:trPr>
        <w:tc>
          <w:tcPr>
            <w:tcW w:w="884" w:type="dxa"/>
            <w:vMerge/>
            <w:tcBorders>
              <w:left w:val="single" w:sz="8" w:space="0" w:color="auto"/>
            </w:tcBorders>
          </w:tcPr>
          <w:p w:rsidR="000E2B8F" w:rsidRDefault="000E2B8F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67" w:type="dxa"/>
          </w:tcPr>
          <w:p w:rsidR="000E2B8F" w:rsidRDefault="00347975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9:00-17:30</w:t>
            </w:r>
          </w:p>
          <w:p w:rsidR="000E2B8F" w:rsidRDefault="000E2B8F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78" w:type="dxa"/>
          </w:tcPr>
          <w:p w:rsidR="000E2B8F" w:rsidRDefault="00347975"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管理层</w:t>
            </w:r>
          </w:p>
        </w:tc>
        <w:tc>
          <w:tcPr>
            <w:tcW w:w="5800" w:type="dxa"/>
          </w:tcPr>
          <w:p w:rsidR="000E2B8F" w:rsidRDefault="00347975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QMS-2015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0E2B8F" w:rsidRDefault="0034797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</w:t>
            </w:r>
            <w:r>
              <w:rPr>
                <w:rFonts w:hint="eastAsia"/>
                <w:sz w:val="18"/>
                <w:szCs w:val="18"/>
              </w:rPr>
              <w:t>组织及其环境</w:t>
            </w:r>
            <w:r>
              <w:rPr>
                <w:rFonts w:hint="eastAsia"/>
                <w:sz w:val="18"/>
                <w:szCs w:val="18"/>
              </w:rPr>
              <w:t>;4.2</w:t>
            </w:r>
            <w:r>
              <w:rPr>
                <w:rFonts w:hint="eastAsia"/>
                <w:sz w:val="18"/>
                <w:szCs w:val="18"/>
              </w:rPr>
              <w:t>相关方需求与期望</w:t>
            </w:r>
            <w:r>
              <w:rPr>
                <w:rFonts w:hint="eastAsia"/>
                <w:sz w:val="18"/>
                <w:szCs w:val="18"/>
              </w:rPr>
              <w:t>;4.3</w:t>
            </w:r>
            <w:r>
              <w:rPr>
                <w:rFonts w:hint="eastAsia"/>
                <w:sz w:val="18"/>
                <w:szCs w:val="18"/>
              </w:rPr>
              <w:t>确定体系范围</w:t>
            </w:r>
            <w:r>
              <w:rPr>
                <w:rFonts w:hint="eastAsia"/>
                <w:sz w:val="18"/>
                <w:szCs w:val="18"/>
              </w:rPr>
              <w:t>;4.4</w:t>
            </w:r>
            <w:r>
              <w:rPr>
                <w:rFonts w:hint="eastAsia"/>
                <w:sz w:val="18"/>
                <w:szCs w:val="18"/>
              </w:rPr>
              <w:t>体系及其过程</w:t>
            </w:r>
            <w:r>
              <w:rPr>
                <w:rFonts w:hint="eastAsia"/>
                <w:sz w:val="18"/>
                <w:szCs w:val="18"/>
              </w:rPr>
              <w:t>;5.1</w:t>
            </w:r>
            <w:r>
              <w:rPr>
                <w:rFonts w:hint="eastAsia"/>
                <w:sz w:val="18"/>
                <w:szCs w:val="18"/>
              </w:rPr>
              <w:t>领导作用与承诺</w:t>
            </w:r>
            <w:r>
              <w:rPr>
                <w:rFonts w:hint="eastAsia"/>
                <w:sz w:val="18"/>
                <w:szCs w:val="18"/>
              </w:rPr>
              <w:t>;5.2</w:t>
            </w:r>
            <w:r>
              <w:rPr>
                <w:rFonts w:hint="eastAsia"/>
                <w:sz w:val="18"/>
                <w:szCs w:val="18"/>
              </w:rPr>
              <w:t>方针</w:t>
            </w:r>
            <w:r>
              <w:rPr>
                <w:rFonts w:hint="eastAsia"/>
                <w:sz w:val="18"/>
                <w:szCs w:val="18"/>
              </w:rPr>
              <w:t>;5.3</w:t>
            </w:r>
            <w:r>
              <w:rPr>
                <w:rFonts w:hint="eastAsia"/>
                <w:sz w:val="18"/>
                <w:szCs w:val="18"/>
              </w:rPr>
              <w:t>组织的角色、职责和权限；</w:t>
            </w:r>
            <w:r>
              <w:rPr>
                <w:rFonts w:hint="eastAsia"/>
                <w:sz w:val="18"/>
                <w:szCs w:val="18"/>
              </w:rPr>
              <w:t>6.1</w:t>
            </w:r>
            <w:r>
              <w:rPr>
                <w:rFonts w:hint="eastAsia"/>
                <w:sz w:val="18"/>
                <w:szCs w:val="18"/>
              </w:rPr>
              <w:t>应对风险和机遇的措施；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</w:rPr>
              <w:t>目标及其实现的策划；</w:t>
            </w:r>
            <w:r>
              <w:rPr>
                <w:rFonts w:hint="eastAsia"/>
                <w:sz w:val="18"/>
                <w:szCs w:val="18"/>
              </w:rPr>
              <w:t>6.3</w:t>
            </w:r>
            <w:r>
              <w:rPr>
                <w:rFonts w:hint="eastAsia"/>
                <w:sz w:val="18"/>
                <w:szCs w:val="18"/>
              </w:rPr>
              <w:t>变更的策划；</w:t>
            </w:r>
            <w:r>
              <w:rPr>
                <w:rFonts w:hint="eastAsia"/>
                <w:sz w:val="18"/>
                <w:szCs w:val="18"/>
              </w:rPr>
              <w:t>7.1.1</w:t>
            </w:r>
            <w:r>
              <w:rPr>
                <w:rFonts w:hint="eastAsia"/>
                <w:sz w:val="18"/>
                <w:szCs w:val="18"/>
              </w:rPr>
              <w:t>资源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总则；</w:t>
            </w:r>
            <w:r>
              <w:rPr>
                <w:rFonts w:hint="eastAsia"/>
                <w:sz w:val="18"/>
                <w:szCs w:val="18"/>
              </w:rPr>
              <w:t>7.1.2</w:t>
            </w:r>
            <w:r>
              <w:rPr>
                <w:rFonts w:hint="eastAsia"/>
                <w:sz w:val="18"/>
                <w:szCs w:val="18"/>
              </w:rPr>
              <w:t>人员；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rFonts w:hint="eastAsia"/>
                <w:sz w:val="18"/>
                <w:szCs w:val="18"/>
              </w:rPr>
              <w:t>组织知识；</w:t>
            </w:r>
            <w:r>
              <w:rPr>
                <w:rFonts w:hint="eastAsia"/>
                <w:sz w:val="18"/>
                <w:szCs w:val="18"/>
              </w:rPr>
              <w:t>7.4</w:t>
            </w:r>
            <w:r>
              <w:rPr>
                <w:rFonts w:hint="eastAsia"/>
                <w:sz w:val="18"/>
                <w:szCs w:val="18"/>
              </w:rPr>
              <w:t>沟通；</w:t>
            </w:r>
            <w:r>
              <w:rPr>
                <w:rFonts w:hint="eastAsia"/>
                <w:sz w:val="18"/>
                <w:szCs w:val="18"/>
              </w:rPr>
              <w:t>9.1.1</w:t>
            </w:r>
            <w:r>
              <w:rPr>
                <w:rFonts w:hint="eastAsia"/>
                <w:sz w:val="18"/>
                <w:szCs w:val="18"/>
              </w:rPr>
              <w:t>监测、分析和评价总则；</w:t>
            </w:r>
            <w:r>
              <w:rPr>
                <w:rFonts w:hint="eastAsia"/>
                <w:sz w:val="18"/>
                <w:szCs w:val="18"/>
              </w:rPr>
              <w:t>9.3</w:t>
            </w:r>
            <w:r>
              <w:rPr>
                <w:rFonts w:hint="eastAsia"/>
                <w:sz w:val="18"/>
                <w:szCs w:val="18"/>
              </w:rPr>
              <w:t>管理评审；</w:t>
            </w:r>
            <w:r>
              <w:rPr>
                <w:rFonts w:hint="eastAsia"/>
                <w:sz w:val="18"/>
                <w:szCs w:val="18"/>
              </w:rPr>
              <w:t>10.1</w:t>
            </w:r>
            <w:r>
              <w:rPr>
                <w:rFonts w:hint="eastAsia"/>
                <w:sz w:val="18"/>
                <w:szCs w:val="18"/>
              </w:rPr>
              <w:t>改进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总则；</w:t>
            </w:r>
            <w:r>
              <w:rPr>
                <w:rFonts w:hint="eastAsia"/>
                <w:sz w:val="18"/>
                <w:szCs w:val="18"/>
              </w:rPr>
              <w:t>10.3</w:t>
            </w:r>
            <w:r>
              <w:rPr>
                <w:rFonts w:hint="eastAsia"/>
                <w:sz w:val="18"/>
                <w:szCs w:val="18"/>
              </w:rPr>
              <w:t>持续改进</w:t>
            </w:r>
          </w:p>
          <w:p w:rsidR="000E2B8F" w:rsidRDefault="0034797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EMS-2015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0E2B8F" w:rsidRDefault="0034797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</w:t>
            </w:r>
            <w:r>
              <w:rPr>
                <w:rFonts w:hint="eastAsia"/>
                <w:sz w:val="18"/>
                <w:szCs w:val="18"/>
              </w:rPr>
              <w:t>组织及其环境</w:t>
            </w:r>
            <w:r>
              <w:rPr>
                <w:rFonts w:hint="eastAsia"/>
                <w:sz w:val="18"/>
                <w:szCs w:val="18"/>
              </w:rPr>
              <w:t>;4.2</w:t>
            </w:r>
            <w:r>
              <w:rPr>
                <w:rFonts w:hint="eastAsia"/>
                <w:sz w:val="18"/>
                <w:szCs w:val="18"/>
              </w:rPr>
              <w:t>相关方需求与期望</w:t>
            </w:r>
            <w:r>
              <w:rPr>
                <w:rFonts w:hint="eastAsia"/>
                <w:sz w:val="18"/>
                <w:szCs w:val="18"/>
              </w:rPr>
              <w:t>;4.3</w:t>
            </w:r>
            <w:r>
              <w:rPr>
                <w:rFonts w:hint="eastAsia"/>
                <w:sz w:val="18"/>
                <w:szCs w:val="18"/>
              </w:rPr>
              <w:t>确定体系范围</w:t>
            </w:r>
            <w:r>
              <w:rPr>
                <w:rFonts w:hint="eastAsia"/>
                <w:sz w:val="18"/>
                <w:szCs w:val="18"/>
              </w:rPr>
              <w:t>;4.4</w:t>
            </w:r>
            <w:r>
              <w:rPr>
                <w:rFonts w:hint="eastAsia"/>
                <w:sz w:val="18"/>
                <w:szCs w:val="18"/>
              </w:rPr>
              <w:t>体系</w:t>
            </w:r>
            <w:r>
              <w:rPr>
                <w:rFonts w:hint="eastAsia"/>
                <w:sz w:val="18"/>
                <w:szCs w:val="18"/>
              </w:rPr>
              <w:t>;5.1</w:t>
            </w:r>
            <w:r>
              <w:rPr>
                <w:rFonts w:hint="eastAsia"/>
                <w:sz w:val="18"/>
                <w:szCs w:val="18"/>
              </w:rPr>
              <w:t>领导作用与承诺</w:t>
            </w:r>
            <w:r>
              <w:rPr>
                <w:rFonts w:hint="eastAsia"/>
                <w:sz w:val="18"/>
                <w:szCs w:val="18"/>
              </w:rPr>
              <w:t>;5.2</w:t>
            </w:r>
            <w:r>
              <w:rPr>
                <w:rFonts w:hint="eastAsia"/>
                <w:sz w:val="18"/>
                <w:szCs w:val="18"/>
              </w:rPr>
              <w:t>方针</w:t>
            </w:r>
            <w:r>
              <w:rPr>
                <w:rFonts w:hint="eastAsia"/>
                <w:sz w:val="18"/>
                <w:szCs w:val="18"/>
              </w:rPr>
              <w:t>;5.3</w:t>
            </w:r>
            <w:r>
              <w:rPr>
                <w:rFonts w:hint="eastAsia"/>
                <w:sz w:val="18"/>
                <w:szCs w:val="18"/>
              </w:rPr>
              <w:t>组织的角色、职责和权限；</w:t>
            </w:r>
            <w:r>
              <w:rPr>
                <w:rFonts w:hint="eastAsia"/>
                <w:sz w:val="18"/>
                <w:szCs w:val="18"/>
              </w:rPr>
              <w:t>6.1.1</w:t>
            </w:r>
            <w:r>
              <w:rPr>
                <w:rFonts w:hint="eastAsia"/>
                <w:sz w:val="18"/>
                <w:szCs w:val="18"/>
              </w:rPr>
              <w:t>策划总则；</w:t>
            </w:r>
            <w:r>
              <w:rPr>
                <w:rFonts w:hint="eastAsia"/>
                <w:sz w:val="18"/>
                <w:szCs w:val="18"/>
              </w:rPr>
              <w:t>6.1.4</w:t>
            </w:r>
            <w:r>
              <w:rPr>
                <w:rFonts w:hint="eastAsia"/>
                <w:sz w:val="18"/>
                <w:szCs w:val="18"/>
              </w:rPr>
              <w:t>措施的策划；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</w:rPr>
              <w:t>目标及其实现的策划；</w:t>
            </w:r>
            <w:r>
              <w:rPr>
                <w:rFonts w:hint="eastAsia"/>
                <w:sz w:val="18"/>
                <w:szCs w:val="18"/>
              </w:rPr>
              <w:t>7.1</w:t>
            </w:r>
            <w:r>
              <w:rPr>
                <w:rFonts w:hint="eastAsia"/>
                <w:sz w:val="18"/>
                <w:szCs w:val="18"/>
              </w:rPr>
              <w:t>资源；</w:t>
            </w:r>
            <w:r>
              <w:rPr>
                <w:rFonts w:hint="eastAsia"/>
                <w:sz w:val="18"/>
                <w:szCs w:val="18"/>
              </w:rPr>
              <w:t>7.4</w:t>
            </w:r>
            <w:r>
              <w:rPr>
                <w:rFonts w:hint="eastAsia"/>
                <w:sz w:val="18"/>
                <w:szCs w:val="18"/>
              </w:rPr>
              <w:t>沟通；</w:t>
            </w:r>
            <w:r>
              <w:rPr>
                <w:rFonts w:hint="eastAsia"/>
                <w:sz w:val="18"/>
                <w:szCs w:val="18"/>
              </w:rPr>
              <w:t>9.1.1</w:t>
            </w:r>
            <w:r>
              <w:rPr>
                <w:rFonts w:hint="eastAsia"/>
                <w:sz w:val="18"/>
                <w:szCs w:val="18"/>
              </w:rPr>
              <w:t>监测、分析和评估总则；</w:t>
            </w:r>
            <w:r>
              <w:rPr>
                <w:rFonts w:hint="eastAsia"/>
                <w:sz w:val="18"/>
                <w:szCs w:val="18"/>
              </w:rPr>
              <w:t>9.3</w:t>
            </w:r>
            <w:r>
              <w:rPr>
                <w:rFonts w:hint="eastAsia"/>
                <w:sz w:val="18"/>
                <w:szCs w:val="18"/>
              </w:rPr>
              <w:t>管理评审；</w:t>
            </w:r>
            <w:r>
              <w:rPr>
                <w:rFonts w:hint="eastAsia"/>
                <w:sz w:val="18"/>
                <w:szCs w:val="18"/>
              </w:rPr>
              <w:t>10.1</w:t>
            </w:r>
            <w:r>
              <w:rPr>
                <w:rFonts w:hint="eastAsia"/>
                <w:sz w:val="18"/>
                <w:szCs w:val="18"/>
              </w:rPr>
              <w:t>改进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总则；</w:t>
            </w:r>
            <w:r>
              <w:rPr>
                <w:rFonts w:hint="eastAsia"/>
                <w:sz w:val="18"/>
                <w:szCs w:val="18"/>
              </w:rPr>
              <w:t>10.3</w:t>
            </w:r>
            <w:r>
              <w:rPr>
                <w:rFonts w:hint="eastAsia"/>
                <w:sz w:val="18"/>
                <w:szCs w:val="18"/>
              </w:rPr>
              <w:t>持续改进；</w:t>
            </w:r>
          </w:p>
          <w:p w:rsidR="000E2B8F" w:rsidRDefault="00347975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：</w:t>
            </w:r>
          </w:p>
          <w:p w:rsidR="000E2B8F" w:rsidRDefault="00347975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.4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工作人员的协商和参与；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应对风险和机遇的措施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持续改进。</w:t>
            </w:r>
          </w:p>
          <w:p w:rsidR="000E2B8F" w:rsidRDefault="00347975">
            <w:pPr>
              <w:pStyle w:val="a0"/>
              <w:rPr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348" w:type="dxa"/>
            <w:tcBorders>
              <w:right w:val="single" w:sz="8" w:space="0" w:color="auto"/>
            </w:tcBorders>
          </w:tcPr>
          <w:p w:rsidR="000E2B8F" w:rsidRDefault="00347975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宋明珠</w:t>
            </w:r>
            <w:r w:rsidR="002B0B65"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（微信）</w:t>
            </w:r>
          </w:p>
        </w:tc>
      </w:tr>
      <w:tr w:rsidR="000E2B8F">
        <w:trPr>
          <w:cantSplit/>
          <w:trHeight w:val="204"/>
        </w:trPr>
        <w:tc>
          <w:tcPr>
            <w:tcW w:w="884" w:type="dxa"/>
            <w:vMerge/>
            <w:tcBorders>
              <w:left w:val="single" w:sz="8" w:space="0" w:color="auto"/>
            </w:tcBorders>
          </w:tcPr>
          <w:p w:rsidR="000E2B8F" w:rsidRDefault="000E2B8F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67" w:type="dxa"/>
          </w:tcPr>
          <w:p w:rsidR="000E2B8F" w:rsidRDefault="00347975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9:00-17:30</w:t>
            </w:r>
          </w:p>
          <w:p w:rsidR="000E2B8F" w:rsidRDefault="000E2B8F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78" w:type="dxa"/>
          </w:tcPr>
          <w:p w:rsidR="000E2B8F" w:rsidRDefault="00347975"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综合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管理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5800" w:type="dxa"/>
          </w:tcPr>
          <w:p w:rsidR="000E2B8F" w:rsidRDefault="00347975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QMS-2015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0E2B8F" w:rsidRDefault="0034797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</w:rPr>
              <w:t>岗位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职责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权限；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</w:rPr>
              <w:t>质量目标及其实现的策划；</w:t>
            </w:r>
            <w:r>
              <w:rPr>
                <w:rFonts w:hint="eastAsia"/>
                <w:sz w:val="18"/>
                <w:szCs w:val="18"/>
              </w:rPr>
              <w:t>7.2</w:t>
            </w:r>
            <w:r>
              <w:rPr>
                <w:rFonts w:hint="eastAsia"/>
                <w:sz w:val="18"/>
                <w:szCs w:val="18"/>
              </w:rPr>
              <w:t>能力；</w:t>
            </w:r>
            <w:r>
              <w:rPr>
                <w:rFonts w:hint="eastAsia"/>
                <w:sz w:val="18"/>
                <w:szCs w:val="18"/>
              </w:rPr>
              <w:t>7.3</w:t>
            </w:r>
            <w:r>
              <w:rPr>
                <w:rFonts w:hint="eastAsia"/>
                <w:sz w:val="18"/>
                <w:szCs w:val="18"/>
              </w:rPr>
              <w:t>意识；</w:t>
            </w:r>
            <w:r>
              <w:rPr>
                <w:rFonts w:hint="eastAsia"/>
                <w:sz w:val="18"/>
                <w:szCs w:val="18"/>
              </w:rPr>
              <w:t>7.4</w:t>
            </w:r>
            <w:r>
              <w:rPr>
                <w:rFonts w:hint="eastAsia"/>
                <w:sz w:val="18"/>
                <w:szCs w:val="18"/>
              </w:rPr>
              <w:t>沟通；</w:t>
            </w:r>
            <w:r>
              <w:rPr>
                <w:rFonts w:hint="eastAsia"/>
                <w:sz w:val="18"/>
                <w:szCs w:val="18"/>
              </w:rPr>
              <w:t>7.5</w:t>
            </w:r>
            <w:r>
              <w:rPr>
                <w:rFonts w:hint="eastAsia"/>
                <w:sz w:val="18"/>
                <w:szCs w:val="18"/>
              </w:rPr>
              <w:t>文件化信息；</w:t>
            </w:r>
            <w:r>
              <w:rPr>
                <w:rFonts w:hint="eastAsia"/>
                <w:sz w:val="18"/>
                <w:szCs w:val="18"/>
              </w:rPr>
              <w:t>9.2</w:t>
            </w:r>
            <w:r>
              <w:rPr>
                <w:rFonts w:hint="eastAsia"/>
                <w:sz w:val="18"/>
                <w:szCs w:val="18"/>
              </w:rPr>
              <w:t>内部审核；</w:t>
            </w:r>
            <w:r>
              <w:rPr>
                <w:rFonts w:hint="eastAsia"/>
                <w:sz w:val="18"/>
                <w:szCs w:val="18"/>
              </w:rPr>
              <w:t>10.2</w:t>
            </w:r>
            <w:r>
              <w:rPr>
                <w:rFonts w:hint="eastAsia"/>
                <w:sz w:val="18"/>
                <w:szCs w:val="18"/>
              </w:rPr>
              <w:t>不符合和纠正措施；</w:t>
            </w:r>
          </w:p>
          <w:p w:rsidR="000E2B8F" w:rsidRDefault="00347975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0E2B8F" w:rsidRDefault="00347975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0E2B8F" w:rsidRDefault="00347975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0E2B8F" w:rsidRDefault="00347975">
            <w:pPr>
              <w:pStyle w:val="a0"/>
              <w:rPr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348" w:type="dxa"/>
            <w:tcBorders>
              <w:right w:val="single" w:sz="8" w:space="0" w:color="auto"/>
            </w:tcBorders>
          </w:tcPr>
          <w:p w:rsidR="000E2B8F" w:rsidRDefault="003479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余家龙</w:t>
            </w:r>
            <w:r w:rsidR="002B0B65"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</w:tc>
      </w:tr>
      <w:tr w:rsidR="000E2B8F">
        <w:trPr>
          <w:cantSplit/>
          <w:trHeight w:val="808"/>
        </w:trPr>
        <w:tc>
          <w:tcPr>
            <w:tcW w:w="884" w:type="dxa"/>
            <w:vMerge/>
            <w:tcBorders>
              <w:left w:val="single" w:sz="8" w:space="0" w:color="auto"/>
            </w:tcBorders>
          </w:tcPr>
          <w:p w:rsidR="000E2B8F" w:rsidRDefault="000E2B8F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67" w:type="dxa"/>
          </w:tcPr>
          <w:p w:rsidR="000E2B8F" w:rsidRDefault="00347975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9:00-17:30</w:t>
            </w:r>
          </w:p>
          <w:p w:rsidR="000E2B8F" w:rsidRDefault="000E2B8F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78" w:type="dxa"/>
          </w:tcPr>
          <w:p w:rsidR="000E2B8F" w:rsidRDefault="00347975"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技术部</w:t>
            </w:r>
            <w:r w:rsidR="002B0B65"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（含临时场所）</w:t>
            </w:r>
          </w:p>
        </w:tc>
        <w:tc>
          <w:tcPr>
            <w:tcW w:w="5800" w:type="dxa"/>
          </w:tcPr>
          <w:p w:rsidR="000E2B8F" w:rsidRDefault="00347975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QMS-2015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0E2B8F" w:rsidRDefault="0034797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</w:rPr>
              <w:t>岗位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职责</w:t>
            </w:r>
            <w:r>
              <w:rPr>
                <w:rFonts w:hint="eastAsia"/>
                <w:sz w:val="18"/>
                <w:szCs w:val="18"/>
              </w:rPr>
              <w:t xml:space="preserve"> /</w:t>
            </w:r>
            <w:r>
              <w:rPr>
                <w:rFonts w:hint="eastAsia"/>
                <w:sz w:val="18"/>
                <w:szCs w:val="18"/>
              </w:rPr>
              <w:t>权限；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</w:rPr>
              <w:t>质量目标及其实现的策划；</w:t>
            </w:r>
            <w:r>
              <w:rPr>
                <w:rFonts w:hint="eastAsia"/>
                <w:sz w:val="18"/>
                <w:szCs w:val="18"/>
              </w:rPr>
              <w:t>7.1.3</w:t>
            </w:r>
            <w:r>
              <w:rPr>
                <w:rFonts w:hint="eastAsia"/>
                <w:sz w:val="18"/>
                <w:szCs w:val="18"/>
              </w:rPr>
              <w:t>基础设施；</w:t>
            </w:r>
            <w:r>
              <w:rPr>
                <w:rFonts w:hint="eastAsia"/>
                <w:sz w:val="18"/>
                <w:szCs w:val="18"/>
              </w:rPr>
              <w:t>7.1.4</w:t>
            </w:r>
            <w:r>
              <w:rPr>
                <w:rFonts w:hint="eastAsia"/>
                <w:sz w:val="18"/>
                <w:szCs w:val="18"/>
              </w:rPr>
              <w:t>过程运行环境；</w:t>
            </w:r>
            <w:r>
              <w:rPr>
                <w:rFonts w:hint="eastAsia"/>
                <w:sz w:val="18"/>
                <w:szCs w:val="18"/>
              </w:rPr>
              <w:t>7.1.5</w:t>
            </w:r>
            <w:r>
              <w:rPr>
                <w:rFonts w:hint="eastAsia"/>
                <w:sz w:val="18"/>
                <w:szCs w:val="18"/>
              </w:rPr>
              <w:t>监视和测量资源；</w:t>
            </w:r>
            <w:r>
              <w:rPr>
                <w:rFonts w:hint="eastAsia"/>
                <w:sz w:val="18"/>
                <w:szCs w:val="18"/>
              </w:rPr>
              <w:t>8.1</w:t>
            </w:r>
            <w:r>
              <w:rPr>
                <w:rFonts w:hint="eastAsia"/>
                <w:sz w:val="18"/>
                <w:szCs w:val="18"/>
              </w:rPr>
              <w:t>运行策划和控制；</w:t>
            </w:r>
            <w:r>
              <w:rPr>
                <w:rFonts w:hint="eastAsia"/>
                <w:sz w:val="18"/>
                <w:szCs w:val="18"/>
              </w:rPr>
              <w:t>8.3</w:t>
            </w:r>
            <w:r>
              <w:rPr>
                <w:rFonts w:hint="eastAsia"/>
                <w:sz w:val="18"/>
                <w:szCs w:val="18"/>
              </w:rPr>
              <w:t>设计开发控制；</w:t>
            </w:r>
            <w:r>
              <w:rPr>
                <w:rFonts w:hint="eastAsia"/>
                <w:sz w:val="18"/>
                <w:szCs w:val="18"/>
              </w:rPr>
              <w:t>8.5.1</w:t>
            </w:r>
            <w:r>
              <w:rPr>
                <w:rFonts w:hint="eastAsia"/>
                <w:sz w:val="18"/>
                <w:szCs w:val="18"/>
              </w:rPr>
              <w:t>生产和服务提供的控制；</w:t>
            </w:r>
            <w:r>
              <w:rPr>
                <w:rFonts w:hint="eastAsia"/>
                <w:sz w:val="18"/>
                <w:szCs w:val="18"/>
              </w:rPr>
              <w:t>8.5.2</w:t>
            </w:r>
            <w:r>
              <w:rPr>
                <w:rFonts w:hint="eastAsia"/>
                <w:sz w:val="18"/>
                <w:szCs w:val="18"/>
              </w:rPr>
              <w:t>标识和可追溯性；</w:t>
            </w:r>
            <w:r>
              <w:rPr>
                <w:rFonts w:hint="eastAsia"/>
                <w:sz w:val="18"/>
                <w:szCs w:val="18"/>
              </w:rPr>
              <w:t>8.5.3</w:t>
            </w:r>
            <w:r>
              <w:rPr>
                <w:rFonts w:hint="eastAsia"/>
                <w:sz w:val="18"/>
                <w:szCs w:val="18"/>
              </w:rPr>
              <w:t>顾客或外部供方的财产；</w:t>
            </w:r>
            <w:r>
              <w:rPr>
                <w:rFonts w:hint="eastAsia"/>
                <w:sz w:val="18"/>
                <w:szCs w:val="18"/>
              </w:rPr>
              <w:t>8.5.4</w:t>
            </w:r>
            <w:r>
              <w:rPr>
                <w:rFonts w:hint="eastAsia"/>
                <w:sz w:val="18"/>
                <w:szCs w:val="18"/>
              </w:rPr>
              <w:t>防护；</w:t>
            </w:r>
            <w:r>
              <w:rPr>
                <w:rFonts w:hint="eastAsia"/>
                <w:sz w:val="18"/>
                <w:szCs w:val="18"/>
              </w:rPr>
              <w:t>8.5.5</w:t>
            </w:r>
            <w:r>
              <w:rPr>
                <w:rFonts w:hint="eastAsia"/>
                <w:sz w:val="18"/>
                <w:szCs w:val="18"/>
              </w:rPr>
              <w:t>交付后的活动；</w:t>
            </w:r>
            <w:r>
              <w:rPr>
                <w:rFonts w:hint="eastAsia"/>
                <w:sz w:val="18"/>
                <w:szCs w:val="18"/>
              </w:rPr>
              <w:t>8.5.6</w:t>
            </w:r>
            <w:r>
              <w:rPr>
                <w:rFonts w:hint="eastAsia"/>
                <w:sz w:val="18"/>
                <w:szCs w:val="18"/>
              </w:rPr>
              <w:t>更改控制；</w:t>
            </w:r>
            <w:r>
              <w:rPr>
                <w:rFonts w:hint="eastAsia"/>
                <w:sz w:val="18"/>
                <w:szCs w:val="18"/>
              </w:rPr>
              <w:t>8.6</w:t>
            </w:r>
            <w:r>
              <w:rPr>
                <w:rFonts w:hint="eastAsia"/>
                <w:sz w:val="18"/>
                <w:szCs w:val="18"/>
              </w:rPr>
              <w:t>产品和服务放行；</w:t>
            </w:r>
            <w:r>
              <w:rPr>
                <w:rFonts w:hint="eastAsia"/>
                <w:sz w:val="18"/>
                <w:szCs w:val="18"/>
              </w:rPr>
              <w:t>8.7</w:t>
            </w:r>
            <w:r>
              <w:rPr>
                <w:rFonts w:hint="eastAsia"/>
                <w:sz w:val="18"/>
                <w:szCs w:val="18"/>
              </w:rPr>
              <w:t>不合格输出的控制；</w:t>
            </w:r>
          </w:p>
          <w:p w:rsidR="000E2B8F" w:rsidRDefault="00347975"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：</w:t>
            </w:r>
          </w:p>
          <w:p w:rsidR="000E2B8F" w:rsidRDefault="00347975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应急准备和响应；</w:t>
            </w:r>
          </w:p>
          <w:p w:rsidR="000E2B8F" w:rsidRDefault="000E2B8F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 w:rsidR="000E2B8F" w:rsidRDefault="00347975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：</w:t>
            </w:r>
          </w:p>
          <w:p w:rsidR="000E2B8F" w:rsidRDefault="00347975">
            <w:pPr>
              <w:pStyle w:val="a0"/>
              <w:rPr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应急准备和响应；</w:t>
            </w:r>
          </w:p>
        </w:tc>
        <w:tc>
          <w:tcPr>
            <w:tcW w:w="1348" w:type="dxa"/>
            <w:tcBorders>
              <w:right w:val="single" w:sz="8" w:space="0" w:color="auto"/>
            </w:tcBorders>
          </w:tcPr>
          <w:p w:rsidR="000E2B8F" w:rsidRDefault="003479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 w:rsidR="002B0B65"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</w:tc>
      </w:tr>
      <w:tr w:rsidR="000E2B8F">
        <w:trPr>
          <w:cantSplit/>
          <w:trHeight w:val="906"/>
        </w:trPr>
        <w:tc>
          <w:tcPr>
            <w:tcW w:w="884" w:type="dxa"/>
            <w:vMerge w:val="restart"/>
            <w:tcBorders>
              <w:left w:val="single" w:sz="8" w:space="0" w:color="auto"/>
            </w:tcBorders>
          </w:tcPr>
          <w:p w:rsidR="000E2B8F" w:rsidRDefault="00347975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9</w:t>
            </w:r>
          </w:p>
          <w:p w:rsidR="000E2B8F" w:rsidRDefault="00347975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 w:rsidR="000E2B8F" w:rsidRDefault="00347975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4</w:t>
            </w:r>
          </w:p>
          <w:p w:rsidR="000E2B8F" w:rsidRDefault="00347975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67" w:type="dxa"/>
            <w:vMerge w:val="restart"/>
          </w:tcPr>
          <w:p w:rsidR="000E2B8F" w:rsidRDefault="00347975">
            <w:pPr>
              <w:pStyle w:val="Default"/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00-11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30</w:t>
            </w:r>
          </w:p>
          <w:p w:rsidR="000E2B8F" w:rsidRDefault="000E2B8F">
            <w:pPr>
              <w:pStyle w:val="Defaul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78" w:type="dxa"/>
            <w:vMerge w:val="restart"/>
          </w:tcPr>
          <w:p w:rsidR="000E2B8F" w:rsidRDefault="00347975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市场部</w:t>
            </w:r>
          </w:p>
        </w:tc>
        <w:tc>
          <w:tcPr>
            <w:tcW w:w="5800" w:type="dxa"/>
          </w:tcPr>
          <w:p w:rsidR="000E2B8F" w:rsidRDefault="00347975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：</w:t>
            </w:r>
          </w:p>
          <w:p w:rsidR="000E2B8F" w:rsidRDefault="00347975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岗位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职责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 xml:space="preserve"> /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权限；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外部提供供方的控制；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顾客满意；</w:t>
            </w:r>
          </w:p>
        </w:tc>
        <w:tc>
          <w:tcPr>
            <w:tcW w:w="1348" w:type="dxa"/>
            <w:tcBorders>
              <w:right w:val="single" w:sz="8" w:space="0" w:color="auto"/>
            </w:tcBorders>
          </w:tcPr>
          <w:p w:rsidR="000E2B8F" w:rsidRDefault="00347975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宋明珠</w:t>
            </w:r>
            <w:r w:rsidR="002B0B65"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（微信）</w:t>
            </w:r>
          </w:p>
        </w:tc>
      </w:tr>
      <w:tr w:rsidR="000E2B8F">
        <w:trPr>
          <w:cantSplit/>
          <w:trHeight w:val="2188"/>
        </w:trPr>
        <w:tc>
          <w:tcPr>
            <w:tcW w:w="884" w:type="dxa"/>
            <w:vMerge/>
            <w:tcBorders>
              <w:left w:val="single" w:sz="8" w:space="0" w:color="auto"/>
            </w:tcBorders>
          </w:tcPr>
          <w:p w:rsidR="000E2B8F" w:rsidRDefault="000E2B8F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67" w:type="dxa"/>
            <w:vMerge/>
          </w:tcPr>
          <w:p w:rsidR="000E2B8F" w:rsidRDefault="000E2B8F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78" w:type="dxa"/>
            <w:vMerge/>
          </w:tcPr>
          <w:p w:rsidR="000E2B8F" w:rsidRDefault="000E2B8F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5800" w:type="dxa"/>
          </w:tcPr>
          <w:p w:rsidR="000E2B8F" w:rsidRDefault="00347975"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：</w:t>
            </w:r>
          </w:p>
          <w:p w:rsidR="000E2B8F" w:rsidRDefault="00347975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应急准备和响应；</w:t>
            </w:r>
          </w:p>
          <w:p w:rsidR="000E2B8F" w:rsidRDefault="00347975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：</w:t>
            </w:r>
          </w:p>
          <w:p w:rsidR="000E2B8F" w:rsidRDefault="00347975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应急准备和响应；</w:t>
            </w:r>
          </w:p>
        </w:tc>
        <w:tc>
          <w:tcPr>
            <w:tcW w:w="1348" w:type="dxa"/>
            <w:tcBorders>
              <w:right w:val="single" w:sz="8" w:space="0" w:color="auto"/>
            </w:tcBorders>
          </w:tcPr>
          <w:p w:rsidR="000E2B8F" w:rsidRDefault="00347975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余家龙</w:t>
            </w:r>
            <w:r w:rsidR="002B0B65"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（微信）</w:t>
            </w:r>
          </w:p>
        </w:tc>
      </w:tr>
      <w:tr w:rsidR="000E2B8F">
        <w:trPr>
          <w:cantSplit/>
          <w:trHeight w:val="306"/>
        </w:trPr>
        <w:tc>
          <w:tcPr>
            <w:tcW w:w="884" w:type="dxa"/>
            <w:vMerge/>
            <w:tcBorders>
              <w:left w:val="single" w:sz="8" w:space="0" w:color="auto"/>
            </w:tcBorders>
          </w:tcPr>
          <w:p w:rsidR="000E2B8F" w:rsidRDefault="000E2B8F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67" w:type="dxa"/>
          </w:tcPr>
          <w:p w:rsidR="000E2B8F" w:rsidRDefault="00347975">
            <w:pPr>
              <w:pStyle w:val="Default"/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00-11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30</w:t>
            </w:r>
            <w:bookmarkStart w:id="36" w:name="_GoBack"/>
            <w:bookmarkEnd w:id="36"/>
          </w:p>
        </w:tc>
        <w:tc>
          <w:tcPr>
            <w:tcW w:w="878" w:type="dxa"/>
          </w:tcPr>
          <w:p w:rsidR="000E2B8F" w:rsidRDefault="00347975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技术部</w:t>
            </w:r>
          </w:p>
        </w:tc>
        <w:tc>
          <w:tcPr>
            <w:tcW w:w="5800" w:type="dxa"/>
          </w:tcPr>
          <w:p w:rsidR="000E2B8F" w:rsidRDefault="00347975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继续昨天的审核</w:t>
            </w:r>
          </w:p>
        </w:tc>
        <w:tc>
          <w:tcPr>
            <w:tcW w:w="1348" w:type="dxa"/>
            <w:tcBorders>
              <w:right w:val="single" w:sz="8" w:space="0" w:color="auto"/>
            </w:tcBorders>
          </w:tcPr>
          <w:p w:rsidR="000E2B8F" w:rsidRDefault="00347975">
            <w:pPr>
              <w:pStyle w:val="Default"/>
              <w:rPr>
                <w:rFonts w:ascii="宋体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文平</w:t>
            </w:r>
            <w:r w:rsidR="002B0B65"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（微信）</w:t>
            </w:r>
          </w:p>
        </w:tc>
      </w:tr>
      <w:tr w:rsidR="000E2B8F">
        <w:trPr>
          <w:cantSplit/>
          <w:trHeight w:val="444"/>
        </w:trPr>
        <w:tc>
          <w:tcPr>
            <w:tcW w:w="884" w:type="dxa"/>
            <w:vMerge/>
            <w:tcBorders>
              <w:left w:val="single" w:sz="8" w:space="0" w:color="auto"/>
            </w:tcBorders>
          </w:tcPr>
          <w:p w:rsidR="000E2B8F" w:rsidRDefault="000E2B8F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67" w:type="dxa"/>
          </w:tcPr>
          <w:p w:rsidR="000E2B8F" w:rsidRDefault="00347975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30-12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6678" w:type="dxa"/>
            <w:gridSpan w:val="2"/>
            <w:vAlign w:val="center"/>
          </w:tcPr>
          <w:p w:rsidR="000E2B8F" w:rsidRDefault="00347975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末次会议</w:t>
            </w:r>
          </w:p>
        </w:tc>
        <w:tc>
          <w:tcPr>
            <w:tcW w:w="1348" w:type="dxa"/>
            <w:tcBorders>
              <w:right w:val="single" w:sz="8" w:space="0" w:color="auto"/>
            </w:tcBorders>
          </w:tcPr>
          <w:p w:rsidR="000E2B8F" w:rsidRDefault="00347975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审核组</w:t>
            </w:r>
            <w:r w:rsidR="002B0B65"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（微信视频）</w:t>
            </w:r>
          </w:p>
        </w:tc>
      </w:tr>
    </w:tbl>
    <w:p w:rsidR="000E2B8F" w:rsidRDefault="000E2B8F"/>
    <w:p w:rsidR="000E2B8F" w:rsidRDefault="0034797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0E2B8F" w:rsidRDefault="00347975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0E2B8F" w:rsidRDefault="00347975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0E2B8F" w:rsidRDefault="00347975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0E2B8F" w:rsidRDefault="00347975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0E2B8F" w:rsidRDefault="00347975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0E2B8F" w:rsidRDefault="00347975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0E2B8F" w:rsidRDefault="000E2B8F"/>
    <w:p w:rsidR="000E2B8F" w:rsidRDefault="000E2B8F"/>
    <w:sectPr w:rsidR="000E2B8F" w:rsidSect="000E2B8F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975" w:rsidRDefault="00347975" w:rsidP="000E2B8F">
      <w:r>
        <w:separator/>
      </w:r>
    </w:p>
  </w:endnote>
  <w:endnote w:type="continuationSeparator" w:id="0">
    <w:p w:rsidR="00347975" w:rsidRDefault="00347975" w:rsidP="000E2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975" w:rsidRDefault="00347975" w:rsidP="000E2B8F">
      <w:r>
        <w:separator/>
      </w:r>
    </w:p>
  </w:footnote>
  <w:footnote w:type="continuationSeparator" w:id="0">
    <w:p w:rsidR="00347975" w:rsidRDefault="00347975" w:rsidP="000E2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8F" w:rsidRDefault="00347975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2B8F" w:rsidRPr="000E2B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:rsidR="000E2B8F" w:rsidRDefault="0034797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E2B8F" w:rsidRDefault="00347975">
    <w:pPr>
      <w:pStyle w:val="a7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QyZmQ4MWM5YTdlOTM3ZWEzMDQwZGU2MjkwZTUyZWYifQ=="/>
  </w:docVars>
  <w:rsids>
    <w:rsidRoot w:val="000E2B8F"/>
    <w:rsid w:val="000E2B8F"/>
    <w:rsid w:val="002B0B65"/>
    <w:rsid w:val="00347975"/>
    <w:rsid w:val="00B01AF0"/>
    <w:rsid w:val="5A701938"/>
    <w:rsid w:val="60A3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E2B8F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0E2B8F"/>
    <w:pPr>
      <w:spacing w:before="25" w:after="25"/>
    </w:pPr>
    <w:rPr>
      <w:bCs/>
      <w:spacing w:val="10"/>
    </w:rPr>
  </w:style>
  <w:style w:type="paragraph" w:styleId="a4">
    <w:name w:val="Body Text"/>
    <w:basedOn w:val="a"/>
    <w:uiPriority w:val="99"/>
    <w:qFormat/>
    <w:rsid w:val="000E2B8F"/>
    <w:rPr>
      <w:sz w:val="21"/>
    </w:rPr>
  </w:style>
  <w:style w:type="paragraph" w:styleId="a5">
    <w:name w:val="Balloon Text"/>
    <w:basedOn w:val="a"/>
    <w:link w:val="Char"/>
    <w:uiPriority w:val="99"/>
    <w:semiHidden/>
    <w:unhideWhenUsed/>
    <w:qFormat/>
    <w:rsid w:val="000E2B8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0E2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rsid w:val="000E2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0E2B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7"/>
    <w:uiPriority w:val="99"/>
    <w:qFormat/>
    <w:rsid w:val="000E2B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sid w:val="000E2B8F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E2B8F"/>
    <w:pPr>
      <w:ind w:firstLineChars="200" w:firstLine="420"/>
    </w:pPr>
  </w:style>
  <w:style w:type="character" w:customStyle="1" w:styleId="Char">
    <w:name w:val="批注框文本 Char"/>
    <w:basedOn w:val="a1"/>
    <w:link w:val="a5"/>
    <w:uiPriority w:val="99"/>
    <w:semiHidden/>
    <w:qFormat/>
    <w:rsid w:val="000E2B8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0E2B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0E2B8F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Default">
    <w:name w:val="Default"/>
    <w:qFormat/>
    <w:rsid w:val="000E2B8F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638</Words>
  <Characters>3639</Characters>
  <Application>Microsoft Office Word</Application>
  <DocSecurity>0</DocSecurity>
  <Lines>30</Lines>
  <Paragraphs>8</Paragraphs>
  <ScaleCrop>false</ScaleCrop>
  <Company>微软中国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62</cp:revision>
  <dcterms:created xsi:type="dcterms:W3CDTF">2015-06-17T14:31:00Z</dcterms:created>
  <dcterms:modified xsi:type="dcterms:W3CDTF">2022-09-03T00:56:00Z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