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沁阳市宏达钢铁有限公司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u w:val="none"/>
                <w:lang w:val="en-US" w:eastAsia="zh-CN"/>
              </w:rPr>
              <w:t>识别的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</w:rPr>
              <w:t>相关方的需求不充分。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i w:val="0"/>
                <w:iCs w:val="0"/>
                <w:sz w:val="21"/>
                <w:szCs w:val="21"/>
                <w:u w:val="none"/>
                <w:lang w:val="en-US" w:eastAsia="zh-CN"/>
              </w:rPr>
              <w:t>经与公司相关人员沟通识别的风险和机遇不充分。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  <w:u w:val="none"/>
                <w:lang w:val="en-US" w:eastAsia="zh-CN"/>
              </w:rPr>
              <w:t>受审核方管理评审记录中各部门的输入材料不充分。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经查询《沁阳市宏达钢铁有限公司-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2021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年度能源审计报告》设备淘汰更新计划表，轧钢车间有36电机淘汰计划，淘汰时间为预计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2022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日前完成，炼钢车间有59台电机淘汰计划，淘汰时间为预计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2022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年9月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日前完成，经检查还没有完成。</w:t>
            </w:r>
          </w:p>
          <w:p>
            <w:pPr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在《法律法规清单》中有《能源管理体系 纯碱、焦化、橡塑制品、制药等化工企业认证要求》RB/T114-2014。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内审计划缺少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4.1/4.3/4.4/5.1/5.2/5.3条款的审核安排，未安排管理层的审核；</w:t>
            </w:r>
          </w:p>
          <w:p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企业的内部审核计划安排的部门与审核记录的部门不一致，检查内容不够具体，不符合项未提供原因分析，已和企业沟通进一步完善。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7</w:t>
            </w:r>
            <w:bookmarkStart w:id="12" w:name="_GoBack"/>
            <w:bookmarkEnd w:id="1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公司目标指标及分解不清晰，环境能源部作为能源主责部门，目标指标确定为“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能源培训计划完成率达到90%</w:t>
            </w:r>
            <w:r>
              <w:rPr>
                <w:rFonts w:hint="eastAsia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不适宜。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CC467C9"/>
    <w:rsid w:val="12DA6BFE"/>
    <w:rsid w:val="1C751F64"/>
    <w:rsid w:val="37BC5411"/>
    <w:rsid w:val="50C71722"/>
    <w:rsid w:val="704C07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306</Words>
  <Characters>353</Characters>
  <Lines>1</Lines>
  <Paragraphs>1</Paragraphs>
  <TotalTime>0</TotalTime>
  <ScaleCrop>false</ScaleCrop>
  <LinksUpToDate>false</LinksUpToDate>
  <CharactersWithSpaces>375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2022-09-16T04:40:43Z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