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华润雪花啤酒（四川）有限责任公司内江分公司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E:03.10.05</w:t>
            </w:r>
          </w:p>
          <w:p>
            <w:pPr>
              <w:spacing w:line="240" w:lineRule="exact"/>
              <w:jc w:val="center"/>
              <w:rPr>
                <w:b/>
                <w:color w:val="000000" w:themeColor="text1"/>
                <w:sz w:val="20"/>
                <w:szCs w:val="20"/>
              </w:rPr>
            </w:pPr>
            <w:r>
              <w:rPr>
                <w:b/>
                <w:color w:val="000000" w:themeColor="text1"/>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华润雪花啤酒（四川）有限责任公司内江分公司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四川省内江市经济技术开发区安靖街99号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614000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四川省内江市经济技术开发区安靖街99号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614000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毛俊</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0832-2190461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鲍常炜</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曹应志</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E：雪花啤酒的生产所涉及的相关环境管理活动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O：雪花啤酒的生产所涉及的相关职业健康安全管理活动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E：03.10.05</w:t>
            </w:r>
          </w:p>
          <w:p>
            <w:pPr>
              <w:spacing w:line="320" w:lineRule="exact"/>
              <w:rPr>
                <w:rFonts w:ascii="宋体" w:hAnsi="宋体"/>
                <w:b/>
                <w:color w:val="000000" w:themeColor="text1"/>
                <w:sz w:val="20"/>
                <w:szCs w:val="20"/>
              </w:rPr>
            </w:pPr>
            <w:r>
              <w:rPr>
                <w:rFonts w:ascii="宋体" w:hAnsi="宋体"/>
                <w:b/>
                <w:color w:val="000000" w:themeColor="text1"/>
                <w:sz w:val="20"/>
                <w:szCs w:val="20"/>
              </w:rPr>
              <w:t>O：03.10.05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2019-06-20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环境和安全</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运营部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酿</w:t>
            </w:r>
            <w:r>
              <w:rPr>
                <w:rFonts w:hint="eastAsia" w:ascii="宋体" w:hAnsi="宋体"/>
                <w:b/>
                <w:color w:val="000000" w:themeColor="text1"/>
                <w:sz w:val="20"/>
                <w:szCs w:val="20"/>
              </w:rPr>
              <w:t>造部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雪花啤酒的生产</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产品</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ascii="宋体" w:hAnsi="宋体"/>
                <w:szCs w:val="21"/>
              </w:rPr>
              <w:t>GB 4927-2008 啤酒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1</w:t>
      </w:r>
      <w:r>
        <w:rPr>
          <w:rFonts w:hint="eastAsia"/>
          <w:b/>
          <w:color w:val="000000" w:themeColor="text1"/>
          <w:spacing w:val="-10"/>
          <w:szCs w:val="21"/>
        </w:rPr>
        <w:t>月</w:t>
      </w:r>
      <w:r>
        <w:rPr>
          <w:rFonts w:hint="eastAsia"/>
          <w:b/>
          <w:color w:val="000000" w:themeColor="text1"/>
          <w:spacing w:val="-10"/>
          <w:szCs w:val="21"/>
          <w:u w:val="single"/>
          <w:lang w:val="en-US" w:eastAsia="zh-CN"/>
        </w:rPr>
        <w:t>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以人为本   关爱生命  保护环境  珍惜资源  和谐发展</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highlight w:val="green"/>
                <w:lang w:val="en-US" w:eastAsia="zh-CN"/>
              </w:rPr>
            </w:pPr>
            <w:r>
              <w:rPr>
                <w:rFonts w:hint="eastAsia"/>
                <w:highlight w:val="none"/>
              </w:rPr>
              <w:t>环境、职业健康安全目标：</w:t>
            </w:r>
            <w:r>
              <w:rPr>
                <w:rFonts w:hint="eastAsia"/>
                <w:highlight w:val="none"/>
                <w:lang w:eastAsia="zh-CN"/>
              </w:rPr>
              <w:t>（考核时间</w:t>
            </w:r>
            <w:r>
              <w:rPr>
                <w:rFonts w:hint="eastAsia"/>
                <w:highlight w:val="none"/>
                <w:lang w:val="en-US" w:eastAsia="zh-CN"/>
              </w:rPr>
              <w:t>2019年7月-12月）</w:t>
            </w:r>
          </w:p>
          <w:p>
            <w:pPr>
              <w:snapToGrid w:val="0"/>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rPr>
              <w:t>1、</w:t>
            </w:r>
            <w:r>
              <w:rPr>
                <w:rFonts w:hint="eastAsia"/>
                <w:b w:val="0"/>
                <w:bCs w:val="0"/>
                <w:szCs w:val="21"/>
                <w:highlight w:val="none"/>
                <w:lang w:val="en-US" w:eastAsia="zh-CN"/>
              </w:rPr>
              <w:t>粉尘排放达标</w:t>
            </w:r>
            <w:r>
              <w:rPr>
                <w:rFonts w:hint="eastAsia" w:ascii="宋体" w:hAnsi="宋体" w:cs="宋体"/>
                <w:b w:val="0"/>
                <w:bCs w:val="0"/>
                <w:kern w:val="0"/>
                <w:szCs w:val="21"/>
                <w:highlight w:val="none"/>
              </w:rPr>
              <w:t>；</w:t>
            </w:r>
            <w:r>
              <w:rPr>
                <w:rFonts w:hint="eastAsia" w:ascii="宋体" w:hAnsi="宋体" w:cs="宋体"/>
                <w:b w:val="0"/>
                <w:bCs w:val="0"/>
                <w:kern w:val="0"/>
                <w:szCs w:val="21"/>
                <w:highlight w:val="none"/>
                <w:lang w:val="en-US" w:eastAsia="zh-CN"/>
              </w:rPr>
              <w:t xml:space="preserve">                             符合标准</w:t>
            </w:r>
          </w:p>
          <w:p>
            <w:pPr>
              <w:snapToGrid w:val="0"/>
              <w:rPr>
                <w:rFonts w:hint="default" w:ascii="宋体" w:hAnsi="宋体" w:cs="宋体"/>
                <w:b w:val="0"/>
                <w:bCs w:val="0"/>
                <w:kern w:val="0"/>
                <w:szCs w:val="21"/>
                <w:highlight w:val="none"/>
                <w:lang w:val="en-US"/>
              </w:rPr>
            </w:pPr>
            <w:r>
              <w:rPr>
                <w:rFonts w:hint="eastAsia" w:ascii="宋体" w:hAnsi="宋体" w:cs="宋体"/>
                <w:b w:val="0"/>
                <w:bCs w:val="0"/>
                <w:kern w:val="0"/>
                <w:szCs w:val="21"/>
                <w:highlight w:val="none"/>
              </w:rPr>
              <w:t>2、</w:t>
            </w:r>
            <w:r>
              <w:rPr>
                <w:rFonts w:hint="eastAsia"/>
                <w:b w:val="0"/>
                <w:bCs w:val="0"/>
                <w:szCs w:val="21"/>
                <w:highlight w:val="none"/>
                <w:lang w:eastAsia="zh-CN"/>
              </w:rPr>
              <w:t>废水排放达标</w:t>
            </w:r>
            <w:r>
              <w:rPr>
                <w:rFonts w:hint="eastAsia"/>
                <w:b w:val="0"/>
                <w:bCs w:val="0"/>
                <w:szCs w:val="21"/>
                <w:highlight w:val="none"/>
                <w:lang w:val="en-US" w:eastAsia="zh-CN"/>
              </w:rPr>
              <w:t>；                             符合标准</w:t>
            </w:r>
          </w:p>
          <w:p>
            <w:pPr>
              <w:snapToGrid w:val="0"/>
              <w:rPr>
                <w:rFonts w:hint="default"/>
                <w:b w:val="0"/>
                <w:bCs w:val="0"/>
                <w:szCs w:val="21"/>
                <w:highlight w:val="none"/>
                <w:lang w:val="en-US" w:eastAsia="zh-CN"/>
              </w:rPr>
            </w:pPr>
            <w:r>
              <w:rPr>
                <w:rFonts w:hint="eastAsia" w:ascii="宋体" w:hAnsi="宋体" w:cs="宋体"/>
                <w:b w:val="0"/>
                <w:bCs w:val="0"/>
                <w:kern w:val="0"/>
                <w:szCs w:val="21"/>
                <w:highlight w:val="none"/>
              </w:rPr>
              <w:t>3、</w:t>
            </w:r>
            <w:r>
              <w:rPr>
                <w:rFonts w:hint="eastAsia"/>
                <w:b w:val="0"/>
                <w:bCs w:val="0"/>
                <w:szCs w:val="21"/>
                <w:highlight w:val="none"/>
                <w:lang w:val="en-US" w:eastAsia="zh-CN"/>
              </w:rPr>
              <w:t xml:space="preserve">噪声排放达标；                             符合标准                            </w:t>
            </w:r>
          </w:p>
          <w:p>
            <w:pPr>
              <w:snapToGrid w:val="0"/>
              <w:rPr>
                <w:rFonts w:hint="default"/>
                <w:b w:val="0"/>
                <w:bCs w:val="0"/>
                <w:szCs w:val="21"/>
                <w:highlight w:val="none"/>
                <w:lang w:val="en-US" w:eastAsia="zh-CN"/>
              </w:rPr>
            </w:pPr>
            <w:r>
              <w:rPr>
                <w:rFonts w:hint="eastAsia"/>
                <w:b w:val="0"/>
                <w:bCs w:val="0"/>
                <w:szCs w:val="21"/>
                <w:highlight w:val="none"/>
                <w:lang w:val="en-US" w:eastAsia="zh-CN"/>
              </w:rPr>
              <w:t>4、</w:t>
            </w:r>
            <w:r>
              <w:rPr>
                <w:rFonts w:hint="eastAsia"/>
                <w:b w:val="0"/>
                <w:bCs w:val="0"/>
                <w:szCs w:val="21"/>
                <w:highlight w:val="none"/>
              </w:rPr>
              <w:t>固体废弃物合理处置</w:t>
            </w:r>
            <w:r>
              <w:rPr>
                <w:rFonts w:hint="eastAsia"/>
                <w:b w:val="0"/>
                <w:bCs w:val="0"/>
                <w:szCs w:val="21"/>
                <w:highlight w:val="none"/>
                <w:lang w:val="en-US" w:eastAsia="zh-CN"/>
              </w:rPr>
              <w:t>；                        100%</w:t>
            </w:r>
          </w:p>
          <w:p>
            <w:pPr>
              <w:snapToGrid w:val="0"/>
              <w:rPr>
                <w:rFonts w:hint="default"/>
                <w:b w:val="0"/>
                <w:bCs w:val="0"/>
                <w:szCs w:val="21"/>
                <w:highlight w:val="none"/>
                <w:lang w:val="en-US" w:eastAsia="zh-CN"/>
              </w:rPr>
            </w:pPr>
            <w:r>
              <w:rPr>
                <w:rFonts w:hint="eastAsia"/>
                <w:b w:val="0"/>
                <w:bCs w:val="0"/>
                <w:szCs w:val="21"/>
                <w:highlight w:val="none"/>
                <w:lang w:val="en-US" w:eastAsia="zh-CN"/>
              </w:rPr>
              <w:t>5、</w:t>
            </w:r>
            <w:r>
              <w:rPr>
                <w:rFonts w:hint="eastAsia"/>
                <w:b w:val="0"/>
                <w:bCs w:val="0"/>
                <w:szCs w:val="21"/>
                <w:highlight w:val="none"/>
              </w:rPr>
              <w:t>死亡、重伤事故为0</w:t>
            </w:r>
            <w:r>
              <w:rPr>
                <w:rFonts w:hint="eastAsia"/>
                <w:b w:val="0"/>
                <w:bCs w:val="0"/>
                <w:szCs w:val="21"/>
                <w:highlight w:val="none"/>
                <w:lang w:val="en-US" w:eastAsia="zh-CN"/>
              </w:rPr>
              <w:t>；                     未发生死亡、重伤事故</w:t>
            </w:r>
          </w:p>
          <w:p>
            <w:pPr>
              <w:snapToGrid w:val="0"/>
              <w:rPr>
                <w:rFonts w:hint="default"/>
                <w:b w:val="0"/>
                <w:bCs w:val="0"/>
                <w:szCs w:val="21"/>
                <w:highlight w:val="none"/>
                <w:lang w:val="en-US" w:eastAsia="zh-CN"/>
              </w:rPr>
            </w:pPr>
            <w:r>
              <w:rPr>
                <w:rFonts w:hint="eastAsia"/>
                <w:b w:val="0"/>
                <w:bCs w:val="0"/>
                <w:szCs w:val="21"/>
                <w:highlight w:val="none"/>
                <w:lang w:val="en-US" w:eastAsia="zh-CN"/>
              </w:rPr>
              <w:t>6、员工无职业病发生；                        无职业病例发生</w:t>
            </w:r>
          </w:p>
          <w:p>
            <w:pPr>
              <w:snapToGrid w:val="0"/>
              <w:rPr>
                <w:rFonts w:hint="default" w:eastAsia="宋体"/>
                <w:b w:val="0"/>
                <w:bCs w:val="0"/>
                <w:szCs w:val="21"/>
                <w:highlight w:val="none"/>
                <w:lang w:val="en-US" w:eastAsia="zh-CN"/>
              </w:rPr>
            </w:pPr>
            <w:r>
              <w:rPr>
                <w:rFonts w:hint="eastAsia"/>
                <w:b w:val="0"/>
                <w:bCs w:val="0"/>
                <w:szCs w:val="21"/>
                <w:highlight w:val="none"/>
                <w:lang w:val="en-US" w:eastAsia="zh-CN"/>
              </w:rPr>
              <w:t>7、</w:t>
            </w:r>
            <w:r>
              <w:rPr>
                <w:rFonts w:hint="eastAsia"/>
                <w:b w:val="0"/>
                <w:bCs w:val="0"/>
                <w:szCs w:val="21"/>
                <w:highlight w:val="none"/>
              </w:rPr>
              <w:t>全年无火灾事故</w:t>
            </w:r>
            <w:r>
              <w:rPr>
                <w:rFonts w:hint="eastAsia"/>
                <w:b w:val="0"/>
                <w:bCs w:val="0"/>
                <w:szCs w:val="21"/>
                <w:highlight w:val="none"/>
                <w:lang w:eastAsia="zh-CN"/>
              </w:rPr>
              <w:t>；</w:t>
            </w:r>
            <w:r>
              <w:rPr>
                <w:rFonts w:hint="eastAsia"/>
                <w:b w:val="0"/>
                <w:bCs w:val="0"/>
                <w:szCs w:val="21"/>
                <w:highlight w:val="none"/>
                <w:lang w:val="en-US" w:eastAsia="zh-CN"/>
              </w:rPr>
              <w:t xml:space="preserve">                         暂无火灾事故发生。</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szCs w:val="21"/>
              </w:rPr>
              <w:t>啤酒生产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highlight w:val="none"/>
              </w:rPr>
              <w:t>、</w:t>
            </w:r>
            <w:r>
              <w:rPr>
                <w:rFonts w:hint="eastAsia" w:ascii="宋体" w:hAnsi="宋体"/>
                <w:szCs w:val="21"/>
                <w:highlight w:val="none"/>
              </w:rPr>
              <w:t>办公场所面积</w:t>
            </w:r>
            <w:r>
              <w:rPr>
                <w:rFonts w:hint="eastAsia" w:ascii="宋体" w:hAnsi="宋体"/>
                <w:szCs w:val="21"/>
                <w:highlight w:val="none"/>
                <w:lang w:val="en-US" w:eastAsia="zh-CN"/>
              </w:rPr>
              <w:t>3000</w:t>
            </w:r>
            <w:r>
              <w:rPr>
                <w:rFonts w:hint="eastAsia" w:ascii="宋体" w:hAnsi="宋体"/>
                <w:szCs w:val="21"/>
                <w:highlight w:val="none"/>
              </w:rPr>
              <w:t>平方左右</w:t>
            </w:r>
            <w:r>
              <w:rPr>
                <w:rFonts w:hint="eastAsia" w:ascii="宋体" w:hAnsi="宋体"/>
                <w:szCs w:val="21"/>
                <w:highlight w:val="none"/>
                <w:lang w:eastAsia="zh-CN"/>
              </w:rPr>
              <w:t>，生产车间面积</w:t>
            </w:r>
            <w:r>
              <w:rPr>
                <w:rFonts w:hint="eastAsia" w:ascii="宋体" w:hAnsi="宋体"/>
                <w:szCs w:val="21"/>
                <w:highlight w:val="none"/>
                <w:lang w:val="en-US" w:eastAsia="zh-CN"/>
              </w:rPr>
              <w:t>36000</w:t>
            </w:r>
            <w:r>
              <w:rPr>
                <w:rFonts w:hint="eastAsia" w:ascii="宋体" w:hAnsi="宋体"/>
                <w:szCs w:val="21"/>
                <w:highlight w:val="none"/>
              </w:rPr>
              <w:t>平方左右。</w:t>
            </w:r>
            <w:r>
              <w:rPr>
                <w:rFonts w:hint="eastAsia" w:ascii="宋体" w:hAnsi="宋体" w:cs="宋体"/>
                <w:szCs w:val="21"/>
                <w:highlight w:val="none"/>
              </w:rPr>
              <w:t>主要生产设备为</w:t>
            </w:r>
            <w:r>
              <w:rPr>
                <w:rFonts w:hint="eastAsia" w:ascii="宋体" w:hAnsi="宋体" w:cs="宋体"/>
                <w:color w:val="000000"/>
                <w:kern w:val="0"/>
                <w:szCs w:val="21"/>
                <w:highlight w:val="none"/>
              </w:rPr>
              <w:t>麦芽增湿粉碎机、大米粉碎机、淀粉调浆系统、糖化设备</w:t>
            </w:r>
            <w:r>
              <w:rPr>
                <w:rFonts w:hint="eastAsia"/>
                <w:highlight w:val="none"/>
              </w:rPr>
              <w:t>、</w:t>
            </w:r>
            <w:r>
              <w:rPr>
                <w:rFonts w:hint="eastAsia" w:ascii="宋体" w:hAnsi="宋体" w:cs="宋体"/>
                <w:color w:val="000000"/>
                <w:kern w:val="0"/>
                <w:szCs w:val="21"/>
                <w:highlight w:val="none"/>
              </w:rPr>
              <w:t>过滤机 、发酵罐</w:t>
            </w:r>
            <w:r>
              <w:rPr>
                <w:rFonts w:hint="eastAsia"/>
                <w:highlight w:val="none"/>
              </w:rPr>
              <w:t>、</w:t>
            </w:r>
            <w:r>
              <w:rPr>
                <w:rFonts w:hint="eastAsia" w:ascii="宋体" w:hAnsi="宋体" w:cs="宋体"/>
                <w:color w:val="000000"/>
                <w:kern w:val="0"/>
                <w:szCs w:val="21"/>
                <w:highlight w:val="none"/>
              </w:rPr>
              <w:t>制冷机组、空气压缩机、叉车等设备。</w:t>
            </w:r>
            <w:r>
              <w:rPr>
                <w:rFonts w:hint="eastAsia" w:ascii="宋体" w:hAnsi="宋体"/>
                <w:szCs w:val="21"/>
                <w:highlight w:val="none"/>
              </w:rPr>
              <w:t>可以满足</w:t>
            </w:r>
            <w:r>
              <w:rPr>
                <w:rFonts w:hint="eastAsia"/>
                <w:szCs w:val="21"/>
                <w:highlight w:val="none"/>
              </w:rPr>
              <w:t>啤酒生产</w:t>
            </w:r>
            <w:r>
              <w:rPr>
                <w:rFonts w:hint="eastAsia" w:ascii="宋体" w:hAnsi="宋体"/>
                <w:szCs w:val="21"/>
                <w:highlight w:val="none"/>
              </w:rPr>
              <w:t>的需要</w:t>
            </w:r>
            <w:r>
              <w:rPr>
                <w:rFonts w:hint="eastAsia" w:ascii="宋体" w:hAnsi="宋体" w:cs="宋体"/>
                <w:szCs w:val="21"/>
                <w:highlight w:val="none"/>
              </w:rPr>
              <w:t>。对设备按月方式进行点检维护保养，并实施。特种设备：叉车、压力容器。公司建立有信息管理系统用于生产和服务。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ascii="宋体" w:hAnsi="宋体" w:cs="宋体"/>
                <w:szCs w:val="21"/>
              </w:rPr>
              <w:t>办公、服务场所和内设备布置合理，通道畅通，照明设施齐全，均配备了消防设施等设施。办公室明亮，培训场所光线较充足。每月由行政部对工作环境进行定期检查。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210" w:firstLineChars="100"/>
              <w:rPr>
                <w:rFonts w:ascii="宋体" w:hAnsi="宋体"/>
                <w:b/>
                <w:sz w:val="20"/>
                <w:szCs w:val="20"/>
              </w:rPr>
            </w:pPr>
            <w:r>
              <w:rPr>
                <w:rFonts w:hint="eastAsia" w:ascii="宋体" w:hAnsi="宋体" w:cs="宋体"/>
                <w:szCs w:val="21"/>
                <w:highlight w:val="none"/>
              </w:rPr>
              <w:t>废水排放在线检测仪等测试设备</w:t>
            </w:r>
            <w:r>
              <w:rPr>
                <w:rFonts w:hint="eastAsia" w:ascii="宋体" w:hAnsi="宋体" w:cs="宋体"/>
                <w:highlight w:val="none"/>
              </w:rPr>
              <w:t>，检测设备受控。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szCs w:val="21"/>
              </w:rPr>
              <w:t>脉冲布袋除尘器、二氧化碳回收装置、水处理装置、消防栓、灭火器等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Cs w:val="21"/>
              </w:rPr>
              <w:t>氨气泄漏报警器、天然气泄漏报警器等。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rFonts w:asciiTheme="minorEastAsia" w:hAnsiTheme="minorEastAsia" w:eastAsiaTheme="minorEastAsia"/>
                <w:bCs/>
                <w:iCs/>
              </w:rPr>
            </w:pPr>
            <w:r>
              <w:rPr>
                <w:rFonts w:hint="eastAsia" w:asciiTheme="minorEastAsia" w:hAnsiTheme="minorEastAsia" w:eastAsiaTheme="minorEastAsia"/>
                <w:bCs/>
                <w:iCs/>
              </w:rPr>
              <w:t>组织重要环境因素</w:t>
            </w:r>
            <w:r>
              <w:rPr>
                <w:rFonts w:hint="eastAsia" w:asciiTheme="minorEastAsia" w:hAnsiTheme="minorEastAsia" w:eastAsiaTheme="minorEastAsia"/>
                <w:bCs/>
                <w:iCs/>
                <w:highlight w:val="none"/>
              </w:rPr>
              <w:t>为</w:t>
            </w:r>
            <w:r>
              <w:rPr>
                <w:rFonts w:hint="eastAsia" w:ascii="宋体" w:hAnsi="宋体" w:cs="宋体"/>
                <w:szCs w:val="21"/>
                <w:highlight w:val="none"/>
              </w:rPr>
              <w:t>1）潜在火灾；2）噪声的排</w:t>
            </w:r>
            <w:r>
              <w:rPr>
                <w:rFonts w:hint="eastAsia" w:ascii="宋体" w:hAnsi="宋体" w:cs="宋体"/>
                <w:szCs w:val="21"/>
              </w:rPr>
              <w:t>放；3）废水的排放；4）固废的排放；5）粉尘的排放；6）能源消耗（水、电、蒸汽）；7）氨气泄漏。</w:t>
            </w:r>
            <w:r>
              <w:rPr>
                <w:rFonts w:hint="eastAsia" w:asciiTheme="minorEastAsia" w:hAnsiTheme="minorEastAsia" w:eastAsiaTheme="minorEastAsia"/>
                <w:bCs/>
                <w:iCs/>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hint="eastAsia" w:asciiTheme="minorEastAsia" w:hAnsiTheme="minorEastAsia" w:eastAsiaTheme="minorEastAsia"/>
                <w:bCs/>
                <w:iCs/>
                <w:lang w:eastAsia="zh-CN"/>
              </w:rPr>
              <w:t>、</w:t>
            </w:r>
            <w:r>
              <w:rPr>
                <w:rFonts w:hint="eastAsia" w:ascii="宋体" w:hAnsi="宋体" w:cs="宋体"/>
                <w:szCs w:val="21"/>
              </w:rPr>
              <w:t>氨气泄漏</w:t>
            </w:r>
            <w:r>
              <w:rPr>
                <w:rFonts w:hint="eastAsia" w:asciiTheme="minorEastAsia" w:hAnsiTheme="minorEastAsia" w:eastAsiaTheme="minorEastAsia"/>
                <w:bCs/>
                <w:iCs/>
              </w:rPr>
              <w:t>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w:t>
            </w:r>
            <w:r>
              <w:rPr>
                <w:rFonts w:hint="eastAsia"/>
                <w:szCs w:val="21"/>
              </w:rPr>
              <w:t>1）火灾；2）爆炸（氨气、天然气、压力容器等）；3）触电；4）意外伤害（高坠、烫伤、冻伤、酸碱腐蚀、爆瓶等伤害）；5）中毒；6）噪声；7）职业病（噪声、粉</w:t>
            </w:r>
            <w:r>
              <w:rPr>
                <w:rFonts w:hint="eastAsia"/>
                <w:szCs w:val="21"/>
                <w:highlight w:val="none"/>
              </w:rPr>
              <w:t>尘等</w:t>
            </w:r>
            <w:r>
              <w:rPr>
                <w:rFonts w:hint="eastAsia"/>
                <w:szCs w:val="21"/>
                <w:highlight w:val="none"/>
                <w:lang w:eastAsia="zh-CN"/>
              </w:rPr>
              <w:t>）</w:t>
            </w:r>
            <w:r>
              <w:rPr>
                <w:rFonts w:hint="eastAsia" w:ascii="宋体" w:hAnsi="宋体" w:cs="宋体"/>
                <w:szCs w:val="21"/>
                <w:highlight w:val="none"/>
              </w:rPr>
              <w:t>等</w:t>
            </w:r>
            <w:r>
              <w:rPr>
                <w:rFonts w:hint="eastAsia" w:asciiTheme="minorEastAsia" w:hAnsiTheme="minorEastAsia" w:eastAsiaTheme="minorEastAsia"/>
                <w:bCs/>
                <w:iCs/>
                <w:highlight w:val="none"/>
              </w:rPr>
              <w:t>重要危险源，与之相关的过程有施工、安装、测试过程，针对不可接受风险制定了管理方案。控制措施实施有效。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rFonts w:hint="eastAsia" w:eastAsia="宋体"/>
                <w:b/>
                <w:sz w:val="20"/>
                <w:szCs w:val="20"/>
                <w:lang w:eastAsia="zh-CN"/>
              </w:rPr>
            </w:pPr>
            <w:r>
              <w:rPr>
                <w:rFonts w:hint="eastAsia"/>
                <w:b/>
                <w:sz w:val="20"/>
                <w:szCs w:val="20"/>
                <w:lang w:eastAsia="zh-CN"/>
              </w:rPr>
              <w:t>对叉车，压力容器进行了年检。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szCs w:val="21"/>
                <w:highlight w:val="none"/>
              </w:rPr>
              <w:t>。同时，质量目标得到沟通和监视评价，通过数据的汇总统计、描述性统计等方法对目标进行了测量，总体已达到或超过了规定的目标值。通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过2019年</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cs="宋体"/>
                <w:szCs w:val="21"/>
              </w:rPr>
              <w:t>涉及运营部E8.1/S</w:t>
            </w:r>
            <w:r>
              <w:rPr>
                <w:rFonts w:hint="eastAsia" w:ascii="宋体" w:hAnsi="宋体" w:cs="宋体"/>
                <w:szCs w:val="21"/>
                <w:lang w:val="en-US" w:eastAsia="zh-CN"/>
              </w:rPr>
              <w:t>8.1</w:t>
            </w:r>
            <w:r>
              <w:rPr>
                <w:rFonts w:hint="eastAsia" w:ascii="宋体" w:hAnsi="宋体" w:cs="宋体"/>
                <w:szCs w:val="21"/>
              </w:rPr>
              <w:t>条款</w:t>
            </w:r>
            <w:r>
              <w:rPr>
                <w:rFonts w:hint="eastAsia" w:ascii="宋体" w:hAnsi="宋体"/>
                <w:szCs w:val="21"/>
              </w:rPr>
              <w:t>2019年</w:t>
            </w:r>
            <w:r>
              <w:rPr>
                <w:rFonts w:hint="eastAsia" w:ascii="宋体" w:hAnsi="宋体"/>
                <w:szCs w:val="21"/>
                <w:lang w:val="en-US" w:eastAsia="zh-CN"/>
              </w:rPr>
              <w:t>10</w:t>
            </w:r>
            <w:r>
              <w:rPr>
                <w:rFonts w:hint="eastAsia" w:ascii="宋体" w:hAnsi="宋体"/>
                <w:szCs w:val="21"/>
              </w:rPr>
              <w:t>月未查见对相关方告知书发放的证据，已及时采取纠正措施后，经内审员验证关闭。内审的有效性需要改善。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400" w:lineRule="exact"/>
              <w:rPr>
                <w:rFonts w:hint="eastAsia" w:eastAsia="宋体"/>
                <w:sz w:val="20"/>
                <w:szCs w:val="20"/>
                <w:lang w:eastAsia="zh-CN"/>
              </w:rPr>
            </w:pPr>
            <w:r>
              <w:rPr>
                <w:rFonts w:hint="eastAsia" w:ascii="宋体" w:hAnsi="宋体"/>
                <w:szCs w:val="21"/>
                <w:highlight w:val="none"/>
              </w:rPr>
              <w:t>提供有</w:t>
            </w:r>
            <w:r>
              <w:rPr>
                <w:rFonts w:hint="eastAsia"/>
                <w:color w:val="000000"/>
                <w:kern w:val="0"/>
                <w:szCs w:val="21"/>
                <w:highlight w:val="none"/>
              </w:rPr>
              <w:t>2019年</w:t>
            </w:r>
            <w:r>
              <w:rPr>
                <w:rFonts w:hint="eastAsia"/>
                <w:color w:val="000000"/>
                <w:kern w:val="0"/>
                <w:szCs w:val="21"/>
                <w:highlight w:val="none"/>
                <w:lang w:val="en-US" w:eastAsia="zh-CN"/>
              </w:rPr>
              <w:t>10</w:t>
            </w:r>
            <w:r>
              <w:rPr>
                <w:rFonts w:hint="eastAsia"/>
                <w:color w:val="000000"/>
                <w:kern w:val="0"/>
                <w:szCs w:val="21"/>
                <w:highlight w:val="none"/>
              </w:rPr>
              <w:t>月</w:t>
            </w:r>
            <w:r>
              <w:rPr>
                <w:rFonts w:hint="eastAsia"/>
                <w:color w:val="000000"/>
                <w:kern w:val="0"/>
                <w:szCs w:val="21"/>
                <w:highlight w:val="none"/>
                <w:lang w:val="en-US" w:eastAsia="zh-CN"/>
              </w:rPr>
              <w:t>23</w:t>
            </w:r>
            <w:r>
              <w:rPr>
                <w:rFonts w:hint="eastAsia"/>
                <w:color w:val="000000"/>
                <w:kern w:val="0"/>
                <w:szCs w:val="21"/>
                <w:highlight w:val="none"/>
              </w:rPr>
              <w:t>日</w:t>
            </w:r>
            <w:r>
              <w:rPr>
                <w:rFonts w:hint="eastAsia" w:ascii="宋体" w:hAnsi="宋体" w:cs="宋体"/>
                <w:color w:val="000000"/>
                <w:kern w:val="0"/>
                <w:szCs w:val="21"/>
                <w:highlight w:val="none"/>
              </w:rPr>
              <w:t>（废水、废气、噪声）监测报告（</w:t>
            </w:r>
            <w:r>
              <w:rPr>
                <w:rFonts w:hint="eastAsia" w:ascii="宋体" w:hAnsi="宋体" w:cs="宋体"/>
                <w:color w:val="000000"/>
                <w:kern w:val="0"/>
                <w:szCs w:val="21"/>
                <w:highlight w:val="none"/>
                <w:lang w:val="en-US" w:eastAsia="zh-CN"/>
              </w:rPr>
              <w:t>ZHJC</w:t>
            </w:r>
            <w:r>
              <w:rPr>
                <w:rFonts w:hint="eastAsia" w:ascii="宋体" w:hAnsi="宋体" w:cs="宋体"/>
                <w:color w:val="000000"/>
                <w:kern w:val="0"/>
                <w:szCs w:val="21"/>
                <w:highlight w:val="none"/>
                <w:lang w:eastAsia="zh-CN"/>
              </w:rPr>
              <w:t>（环</w:t>
            </w:r>
            <w:r>
              <w:rPr>
                <w:rFonts w:hint="eastAsia" w:ascii="宋体" w:hAnsi="宋体" w:cs="宋体"/>
                <w:color w:val="000000"/>
                <w:kern w:val="0"/>
                <w:szCs w:val="21"/>
                <w:highlight w:val="none"/>
                <w:lang w:val="en-US" w:eastAsia="zh-CN"/>
              </w:rPr>
              <w:t>）201903050Y004号</w:t>
            </w:r>
            <w:r>
              <w:rPr>
                <w:rFonts w:hint="eastAsia" w:ascii="宋体" w:hAnsi="宋体" w:cs="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ascii="宋体" w:hAnsi="宋体"/>
                <w:szCs w:val="21"/>
                <w:highlight w:val="none"/>
              </w:rPr>
              <w:t>提供有</w:t>
            </w:r>
            <w:r>
              <w:rPr>
                <w:rFonts w:hint="eastAsia" w:ascii="宋体" w:hAnsi="宋体" w:cs="宋体"/>
                <w:color w:val="000000"/>
                <w:kern w:val="0"/>
                <w:szCs w:val="21"/>
                <w:highlight w:val="none"/>
                <w:lang w:val="en-US" w:eastAsia="zh-CN"/>
              </w:rPr>
              <w:t>30万千升/年啤酒搬迁扩能技术改造项目（一期工程）建设项目环境保护验收申请，结论：通过验收，川环验（2016）137号。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sz w:val="20"/>
                <w:szCs w:val="20"/>
                <w:lang w:eastAsia="zh-CN"/>
              </w:rPr>
            </w:pPr>
            <w:r>
              <w:rPr>
                <w:rFonts w:hint="eastAsia" w:ascii="宋体" w:hAnsi="宋体"/>
                <w:szCs w:val="21"/>
                <w:highlight w:val="none"/>
              </w:rPr>
              <w:t>提供有</w:t>
            </w:r>
            <w:r>
              <w:rPr>
                <w:rFonts w:hint="eastAsia" w:ascii="宋体" w:hAnsi="宋体"/>
                <w:szCs w:val="21"/>
                <w:highlight w:val="none"/>
                <w:lang w:val="en-US" w:eastAsia="zh-CN"/>
              </w:rPr>
              <w:t>:1）</w:t>
            </w:r>
            <w:r>
              <w:rPr>
                <w:rFonts w:hint="eastAsia" w:ascii="宋体" w:hAnsi="宋体"/>
                <w:szCs w:val="21"/>
                <w:highlight w:val="none"/>
              </w:rPr>
              <w:t>201</w:t>
            </w:r>
            <w:r>
              <w:rPr>
                <w:rFonts w:hint="eastAsia" w:ascii="宋体" w:hAnsi="宋体"/>
                <w:szCs w:val="21"/>
                <w:highlight w:val="none"/>
                <w:lang w:val="en-US" w:eastAsia="zh-CN"/>
              </w:rPr>
              <w:t>8</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eastAsia="zh-CN"/>
              </w:rPr>
              <w:t>职业病危害现状评价报告书</w:t>
            </w:r>
            <w:r>
              <w:rPr>
                <w:rFonts w:hint="eastAsia" w:ascii="宋体" w:hAnsi="宋体"/>
                <w:szCs w:val="21"/>
                <w:highlight w:val="none"/>
              </w:rPr>
              <w:t>（川泰（职）</w:t>
            </w:r>
            <w:r>
              <w:rPr>
                <w:rFonts w:hint="eastAsia" w:ascii="宋体" w:hAnsi="宋体"/>
                <w:szCs w:val="21"/>
                <w:highlight w:val="none"/>
                <w:lang w:eastAsia="zh-CN"/>
              </w:rPr>
              <w:t>现</w:t>
            </w:r>
            <w:r>
              <w:rPr>
                <w:rFonts w:hint="eastAsia" w:ascii="宋体" w:hAnsi="宋体"/>
                <w:szCs w:val="21"/>
                <w:highlight w:val="none"/>
              </w:rPr>
              <w:t>（201</w:t>
            </w:r>
            <w:r>
              <w:rPr>
                <w:rFonts w:hint="eastAsia" w:ascii="宋体" w:hAnsi="宋体"/>
                <w:szCs w:val="21"/>
                <w:highlight w:val="none"/>
                <w:lang w:val="en-US" w:eastAsia="zh-CN"/>
              </w:rPr>
              <w:t>8</w:t>
            </w:r>
            <w:r>
              <w:rPr>
                <w:rFonts w:hint="eastAsia" w:ascii="宋体" w:hAnsi="宋体"/>
                <w:szCs w:val="21"/>
                <w:highlight w:val="none"/>
              </w:rPr>
              <w:t>）</w:t>
            </w:r>
            <w:r>
              <w:rPr>
                <w:rFonts w:hint="eastAsia" w:ascii="宋体" w:hAnsi="宋体"/>
                <w:szCs w:val="21"/>
                <w:highlight w:val="none"/>
                <w:lang w:val="en-US" w:eastAsia="zh-CN"/>
              </w:rPr>
              <w:t>061</w:t>
            </w:r>
            <w:r>
              <w:rPr>
                <w:rFonts w:hint="eastAsia" w:ascii="宋体" w:hAnsi="宋体"/>
                <w:szCs w:val="21"/>
                <w:highlight w:val="none"/>
              </w:rPr>
              <w:t>号</w:t>
            </w:r>
            <w:r>
              <w:rPr>
                <w:rFonts w:hint="eastAsia" w:ascii="宋体" w:hAnsi="宋体"/>
                <w:szCs w:val="21"/>
                <w:highlight w:val="none"/>
                <w:lang w:eastAsia="zh-CN"/>
              </w:rPr>
              <w:t>；</w:t>
            </w:r>
            <w:r>
              <w:rPr>
                <w:rFonts w:hint="eastAsia" w:ascii="宋体" w:hAnsi="宋体"/>
                <w:szCs w:val="21"/>
                <w:highlight w:val="none"/>
                <w:lang w:val="en-US" w:eastAsia="zh-CN"/>
              </w:rPr>
              <w:t>2）2019年5月职业病危害因素检测报告（</w:t>
            </w:r>
            <w:r>
              <w:rPr>
                <w:rFonts w:hint="eastAsia" w:ascii="宋体" w:hAnsi="宋体"/>
                <w:szCs w:val="21"/>
                <w:highlight w:val="none"/>
              </w:rPr>
              <w:t>（川泰（职）</w:t>
            </w:r>
            <w:r>
              <w:rPr>
                <w:rFonts w:hint="eastAsia" w:ascii="宋体" w:hAnsi="宋体"/>
                <w:szCs w:val="21"/>
                <w:highlight w:val="none"/>
                <w:lang w:eastAsia="zh-CN"/>
              </w:rPr>
              <w:t>检</w:t>
            </w:r>
            <w:r>
              <w:rPr>
                <w:rFonts w:hint="eastAsia" w:ascii="宋体" w:hAnsi="宋体"/>
                <w:szCs w:val="21"/>
                <w:highlight w:val="none"/>
              </w:rPr>
              <w:t>（201</w:t>
            </w:r>
            <w:r>
              <w:rPr>
                <w:rFonts w:hint="eastAsia" w:ascii="宋体" w:hAnsi="宋体"/>
                <w:szCs w:val="21"/>
                <w:highlight w:val="none"/>
                <w:lang w:val="en-US" w:eastAsia="zh-CN"/>
              </w:rPr>
              <w:t>9</w:t>
            </w:r>
            <w:r>
              <w:rPr>
                <w:rFonts w:hint="eastAsia" w:ascii="宋体" w:hAnsi="宋体"/>
                <w:szCs w:val="21"/>
                <w:highlight w:val="none"/>
              </w:rPr>
              <w:t>）</w:t>
            </w:r>
            <w:r>
              <w:rPr>
                <w:rFonts w:hint="eastAsia" w:ascii="宋体" w:hAnsi="宋体"/>
                <w:szCs w:val="21"/>
                <w:highlight w:val="none"/>
                <w:lang w:val="en-US" w:eastAsia="zh-CN"/>
              </w:rPr>
              <w:t>140</w:t>
            </w:r>
            <w:r>
              <w:rPr>
                <w:rFonts w:hint="eastAsia" w:ascii="宋体" w:hAnsi="宋体"/>
                <w:szCs w:val="21"/>
                <w:highlight w:val="none"/>
              </w:rPr>
              <w:t>号，具体见附件。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70841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酿造</w:t>
      </w:r>
      <w:r>
        <w:rPr>
          <w:rFonts w:hint="eastAsia"/>
          <w:b/>
          <w:highlight w:val="none"/>
        </w:rPr>
        <w:t>部</w:t>
      </w:r>
      <w:r>
        <w:rPr>
          <w:rFonts w:hint="eastAsia"/>
          <w:b/>
          <w:highlight w:val="none"/>
          <w:lang w:val="en-US" w:eastAsia="zh-CN"/>
        </w:rPr>
        <w:t>S8.1</w:t>
      </w:r>
      <w:r>
        <w:rPr>
          <w:rFonts w:hint="eastAsia"/>
          <w:b/>
          <w:highlight w:val="none"/>
        </w:rPr>
        <w:t>条款，分布见附件。（Q/J/E/S分开填写）</w:t>
      </w:r>
      <w:bookmarkStart w:id="22" w:name="_GoBack"/>
      <w:bookmarkEnd w:id="22"/>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numPr>
                <w:ilvl w:val="0"/>
                <w:numId w:val="3"/>
              </w:numPr>
              <w:rPr>
                <w:rFonts w:hint="eastAsia"/>
                <w:b/>
                <w:color w:val="000000" w:themeColor="text1"/>
              </w:rPr>
            </w:pPr>
            <w:r>
              <w:rPr>
                <w:rFonts w:hint="eastAsia"/>
                <w:b/>
                <w:color w:val="000000" w:themeColor="text1"/>
              </w:rPr>
              <w:t>对审核范围适宜性结论</w:t>
            </w:r>
          </w:p>
          <w:p>
            <w:pPr>
              <w:numPr>
                <w:ilvl w:val="0"/>
                <w:numId w:val="0"/>
              </w:num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rPr>
                <w:rFonts w:hint="eastAsia" w:ascii="宋体" w:hAnsi="宋体" w:cs="Times New Roman"/>
                <w:b/>
                <w:color w:val="000000" w:themeColor="text1"/>
              </w:rPr>
            </w:pPr>
            <w:r>
              <w:rPr>
                <w:rFonts w:hint="eastAsia" w:ascii="宋体" w:hAnsi="宋体" w:cs="Times New Roman"/>
                <w:b/>
                <w:color w:val="000000" w:themeColor="text1"/>
              </w:rPr>
              <w:t>EMS:</w:t>
            </w:r>
            <w:r>
              <w:rPr>
                <w:rFonts w:hint="eastAsia" w:ascii="宋体" w:hAnsi="宋体" w:cs="Times New Roman"/>
                <w:b/>
                <w:color w:val="000000" w:themeColor="text1"/>
                <w:u w:val="single"/>
              </w:rPr>
              <w:t xml:space="preserve"> 雪花啤酒的生产及其所涉及的环境管理活动。</w:t>
            </w:r>
          </w:p>
          <w:p>
            <w:pPr>
              <w:rPr>
                <w:rFonts w:hint="eastAsia" w:ascii="宋体" w:hAnsi="宋体" w:cs="Times New Roman"/>
                <w:b/>
                <w:color w:val="000000" w:themeColor="text1"/>
                <w:u w:val="single"/>
              </w:rPr>
            </w:pPr>
            <w:r>
              <w:rPr>
                <w:rFonts w:hint="eastAsia" w:ascii="宋体" w:hAnsi="宋体" w:cs="Times New Roman"/>
                <w:b/>
                <w:color w:val="000000" w:themeColor="text1"/>
              </w:rPr>
              <w:t>OHSMS:</w:t>
            </w:r>
            <w:r>
              <w:rPr>
                <w:rFonts w:hint="eastAsia" w:ascii="宋体" w:hAnsi="宋体" w:cs="Times New Roman"/>
                <w:b/>
                <w:color w:val="000000" w:themeColor="text1"/>
                <w:u w:val="single"/>
              </w:rPr>
              <w:t>雪花啤酒的生产及其所涉及的职业健康安全管理活动。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71F98"/>
    <w:multiLevelType w:val="singleLevel"/>
    <w:tmpl w:val="8F371F98"/>
    <w:lvl w:ilvl="0" w:tentative="0">
      <w:start w:val="2"/>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AC27C9"/>
    <w:rsid w:val="336034AC"/>
    <w:rsid w:val="398B0A4F"/>
    <w:rsid w:val="3C4B4FA2"/>
    <w:rsid w:val="3E230CB6"/>
    <w:rsid w:val="43AD1195"/>
    <w:rsid w:val="5CD0644D"/>
    <w:rsid w:val="600F2A8A"/>
    <w:rsid w:val="688E1B02"/>
    <w:rsid w:val="72750275"/>
    <w:rsid w:val="7B6D3A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2020-01-03T03:05:03Z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