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9560" cy="9385300"/>
            <wp:effectExtent l="0" t="0" r="2540" b="0"/>
            <wp:docPr id="1" name="图片 1" descr="微信图片_202209091729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917295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bookmarkEnd w:id="29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石家庄市藁城区华联水泥制品有限公司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河北省石家庄市藁城区南孟镇贤庄村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河北省石家庄市藁城区南孟镇贤庄村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王建海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13603218665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0788-2021-Q-2022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现场审核勾选"/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Q：环形混凝土电杆的加工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E：环形混凝土电杆的加工所涉及场所的相关环境管理活动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O：环形混凝土电杆的加工所涉及场所的相关职业健康安全管理活动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Q：16.02.01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2022年08月31日 上午至2022年09月01日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2.0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4405" cy="459105"/>
                  <wp:effectExtent l="0" t="0" r="0" b="0"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2022.8.29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2022.8.29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2022.8.29</w:t>
            </w:r>
          </w:p>
        </w:tc>
      </w:tr>
    </w:tbl>
    <w:p/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2022.8.31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;Q6.3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2022.9.1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岗位、职责权限；目标、指标管理方案；环境因素/危险源识别评价；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21"/>
                <w:szCs w:val="21"/>
              </w:rPr>
              <w:t>运行策划和控制；应急准备和响应；合规义务；法律法规要求；绩效的监视和测量；合规性评价；不合格及纠正措施控制；内部审核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5.3/6.2/9.2/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EO5.3/6.2/</w:t>
            </w:r>
            <w:r>
              <w:rPr>
                <w:rFonts w:hint="eastAsia"/>
                <w:color w:val="auto"/>
                <w:sz w:val="21"/>
                <w:szCs w:val="21"/>
              </w:rPr>
              <w:t>6.1.2/6.1.3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8.1/8.2/9.1/10.2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99313AF"/>
    <w:rsid w:val="59F35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2022-09-30T01:43:32Z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