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1010-2022-Q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保定市科美电气科技有限公司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保定市科美电气科技有限公司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保定市北二环路5699号大学科技园1号楼A单元5楼502室</w:t>
            </w:r>
            <w:bookmarkEnd w:id="6"/>
          </w:p>
        </w:tc>
        <w:tc>
          <w:tcPr>
            <w:tcW w:w="1242" w:type="dxa"/>
            <w:vMerge w:val="restart"/>
            <w:vAlign w:val="center"/>
          </w:tcPr>
          <w:p>
            <w:r>
              <w:rPr>
                <w:rFonts w:hint="eastAsia"/>
              </w:rPr>
              <w:t>邮编</w:t>
            </w:r>
          </w:p>
        </w:tc>
        <w:tc>
          <w:tcPr>
            <w:tcW w:w="1771" w:type="dxa"/>
          </w:tcPr>
          <w:p>
            <w:bookmarkStart w:id="7" w:name="注册邮编"/>
            <w:r>
              <w:t>071025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保定市北二环路5699号大学科技园1号楼A单元5楼502室</w:t>
            </w:r>
            <w:bookmarkEnd w:id="8"/>
          </w:p>
        </w:tc>
        <w:tc>
          <w:tcPr>
            <w:tcW w:w="1242" w:type="dxa"/>
            <w:vMerge w:val="continue"/>
            <w:vAlign w:val="center"/>
          </w:tcPr>
          <w:p/>
        </w:tc>
        <w:tc>
          <w:tcPr>
            <w:tcW w:w="1771" w:type="dxa"/>
          </w:tcPr>
          <w:p>
            <w:bookmarkStart w:id="9" w:name="办公邮编"/>
            <w:r>
              <w:t>071025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高小梅</w:t>
            </w:r>
            <w:bookmarkEnd w:id="10"/>
          </w:p>
        </w:tc>
        <w:tc>
          <w:tcPr>
            <w:tcW w:w="1313" w:type="dxa"/>
            <w:vAlign w:val="center"/>
          </w:tcPr>
          <w:p>
            <w:r>
              <w:rPr>
                <w:rFonts w:hint="eastAsia"/>
              </w:rPr>
              <w:t>电话.</w:t>
            </w:r>
          </w:p>
        </w:tc>
        <w:tc>
          <w:tcPr>
            <w:tcW w:w="2180" w:type="dxa"/>
            <w:vAlign w:val="center"/>
          </w:tcPr>
          <w:p>
            <w:bookmarkStart w:id="11" w:name="联系人电话"/>
            <w:r>
              <w:t>19932580851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武柯</w:t>
            </w:r>
            <w:bookmarkEnd w:id="13"/>
          </w:p>
        </w:tc>
        <w:tc>
          <w:tcPr>
            <w:tcW w:w="1313" w:type="dxa"/>
            <w:vAlign w:val="center"/>
          </w:tcPr>
          <w:p>
            <w:r>
              <w:rPr>
                <w:rFonts w:hint="eastAsia"/>
              </w:rPr>
              <w:t>管理者代表</w:t>
            </w:r>
          </w:p>
        </w:tc>
        <w:tc>
          <w:tcPr>
            <w:tcW w:w="2180" w:type="dxa"/>
          </w:tcPr>
          <w:p>
            <w:bookmarkStart w:id="14" w:name="管理者代表"/>
            <w:r>
              <w:t>高小梅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原材料--焊接（外包）--检验调试--组装--老化--检验--包装---入库</w:t>
            </w:r>
          </w:p>
          <w:p>
            <w:r>
              <w:rPr>
                <w:rFonts w:hint="eastAsia"/>
              </w:rPr>
              <w:t>客户信息收集---客户洽谈----合同评审-----签订合同---履行合同---客户回访</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2022年08月30日 上午至2022年08月31日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高压配电开关控制设备的加工、销售。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19.09.02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A3"/>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96"/>
        <w:gridCol w:w="2140"/>
        <w:gridCol w:w="490"/>
        <w:gridCol w:w="2360"/>
        <w:gridCol w:w="1560"/>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896"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14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49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360"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56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799"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96" w:type="dxa"/>
          </w:tcPr>
          <w:p>
            <w:pPr>
              <w:spacing w:before="40" w:after="40"/>
              <w:rPr>
                <w:rFonts w:eastAsia="黑体"/>
                <w:szCs w:val="21"/>
                <w:lang w:val="de-DE" w:eastAsia="ja-JP"/>
              </w:rPr>
            </w:pPr>
            <w:r>
              <w:rPr>
                <w:rFonts w:hint="eastAsia" w:eastAsia="黑体"/>
                <w:szCs w:val="21"/>
                <w:lang w:val="de-DE" w:eastAsia="ja-JP"/>
              </w:rPr>
              <w:t>保定市科美电气科技有限公司</w:t>
            </w:r>
          </w:p>
        </w:tc>
        <w:tc>
          <w:tcPr>
            <w:tcW w:w="2140" w:type="dxa"/>
          </w:tcPr>
          <w:p>
            <w:pPr>
              <w:spacing w:before="40" w:after="40"/>
              <w:rPr>
                <w:rFonts w:eastAsia="黑体"/>
                <w:szCs w:val="21"/>
                <w:lang w:val="de-DE" w:eastAsia="ja-JP"/>
              </w:rPr>
            </w:pPr>
            <w:r>
              <w:rPr>
                <w:rFonts w:hint="eastAsia" w:eastAsia="黑体"/>
                <w:szCs w:val="21"/>
                <w:lang w:val="de-DE" w:eastAsia="ja-JP"/>
              </w:rPr>
              <w:t>保定市北二环路5699号大学科技园1号楼A单元5楼502室</w:t>
            </w:r>
          </w:p>
        </w:tc>
        <w:tc>
          <w:tcPr>
            <w:tcW w:w="490"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360" w:type="dxa"/>
            <w:vAlign w:val="center"/>
          </w:tcPr>
          <w:p>
            <w:pPr>
              <w:pStyle w:val="20"/>
              <w:rPr>
                <w:rFonts w:eastAsia="黑体" w:cs="Arial"/>
                <w:sz w:val="21"/>
                <w:szCs w:val="21"/>
                <w:lang w:val="en-US" w:eastAsia="ja-JP"/>
              </w:rPr>
            </w:pPr>
            <w:r>
              <w:rPr>
                <w:rFonts w:hint="eastAsia" w:eastAsia="黑体" w:cs="Arial"/>
                <w:sz w:val="21"/>
                <w:szCs w:val="21"/>
                <w:lang w:val="en-US" w:eastAsia="ja-JP"/>
              </w:rPr>
              <w:t>高压配电开关控制设备的加工、销售</w:t>
            </w:r>
          </w:p>
        </w:tc>
        <w:tc>
          <w:tcPr>
            <w:tcW w:w="1560" w:type="dxa"/>
            <w:vAlign w:val="center"/>
          </w:tcPr>
          <w:p>
            <w:pPr>
              <w:spacing w:before="40" w:after="40"/>
              <w:rPr>
                <w:rFonts w:eastAsia="黑体"/>
                <w:szCs w:val="21"/>
                <w:lang w:eastAsia="ja-JP"/>
              </w:rPr>
            </w:pPr>
            <w:r>
              <w:rPr>
                <w:rFonts w:hint="eastAsia" w:eastAsia="黑体"/>
                <w:szCs w:val="21"/>
                <w:lang w:eastAsia="ja-JP"/>
              </w:rPr>
              <w:t xml:space="preserve">GB/T19001-2016/ISO 9001:2015 </w:t>
            </w:r>
          </w:p>
        </w:tc>
        <w:sdt>
          <w:sdtPr>
            <w:rPr>
              <w:rFonts w:eastAsia="黑体"/>
              <w:szCs w:val="21"/>
            </w:rPr>
            <w:id w:val="271604670"/>
          </w:sdtPr>
          <w:sdtEndPr>
            <w:rPr>
              <w:rFonts w:eastAsia="黑体"/>
              <w:szCs w:val="21"/>
            </w:rPr>
          </w:sdtEndPr>
          <w:sdtContent>
            <w:tc>
              <w:tcPr>
                <w:tcW w:w="799" w:type="dxa"/>
                <w:shd w:val="clear" w:color="auto" w:fill="FFFFFF"/>
              </w:tcPr>
              <w:p>
                <w:pPr>
                  <w:rPr>
                    <w:rFonts w:eastAsia="黑体"/>
                    <w:szCs w:val="21"/>
                  </w:rPr>
                </w:pPr>
                <w:r>
                  <w:rPr>
                    <w:rFonts w:hint="eastAsia"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896" w:type="dxa"/>
            <w:vAlign w:val="center"/>
          </w:tcPr>
          <w:p>
            <w:pPr>
              <w:spacing w:before="40" w:after="40"/>
              <w:rPr>
                <w:rFonts w:eastAsia="黑体"/>
                <w:szCs w:val="21"/>
                <w:lang w:eastAsia="ja-JP"/>
              </w:rPr>
            </w:pPr>
            <w:r>
              <w:rPr>
                <w:rFonts w:hint="eastAsia" w:eastAsia="黑体"/>
                <w:szCs w:val="21"/>
                <w:lang w:eastAsia="ja-JP"/>
              </w:rPr>
              <w:t>保定市北二环路5699号大学科技园1号楼A单元5楼502室</w:t>
            </w:r>
          </w:p>
        </w:tc>
        <w:tc>
          <w:tcPr>
            <w:tcW w:w="2140" w:type="dxa"/>
            <w:vAlign w:val="center"/>
          </w:tcPr>
          <w:p>
            <w:pPr>
              <w:spacing w:before="40" w:after="40"/>
              <w:rPr>
                <w:rFonts w:eastAsia="黑体"/>
                <w:szCs w:val="21"/>
                <w:lang w:eastAsia="ja-JP"/>
              </w:rPr>
            </w:pPr>
          </w:p>
        </w:tc>
        <w:tc>
          <w:tcPr>
            <w:tcW w:w="490" w:type="dxa"/>
            <w:vAlign w:val="center"/>
          </w:tcPr>
          <w:p>
            <w:pPr>
              <w:spacing w:before="40" w:after="40"/>
              <w:rPr>
                <w:rFonts w:eastAsia="黑体"/>
                <w:szCs w:val="21"/>
                <w:lang w:eastAsia="ja-JP"/>
              </w:rPr>
            </w:pPr>
          </w:p>
        </w:tc>
        <w:tc>
          <w:tcPr>
            <w:tcW w:w="2360" w:type="dxa"/>
            <w:vAlign w:val="center"/>
          </w:tcPr>
          <w:p>
            <w:pPr>
              <w:spacing w:before="40" w:after="40"/>
              <w:rPr>
                <w:rFonts w:eastAsia="黑体"/>
                <w:szCs w:val="21"/>
                <w:lang w:eastAsia="ja-JP"/>
              </w:rPr>
            </w:pPr>
          </w:p>
        </w:tc>
        <w:tc>
          <w:tcPr>
            <w:tcW w:w="1560"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799"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896" w:type="dxa"/>
            <w:vAlign w:val="center"/>
          </w:tcPr>
          <w:p>
            <w:pPr>
              <w:spacing w:before="40" w:after="40"/>
              <w:rPr>
                <w:rFonts w:eastAsia="黑体"/>
                <w:szCs w:val="21"/>
                <w:lang w:eastAsia="ja-JP"/>
              </w:rPr>
            </w:pPr>
          </w:p>
        </w:tc>
        <w:tc>
          <w:tcPr>
            <w:tcW w:w="2140" w:type="dxa"/>
            <w:vAlign w:val="center"/>
          </w:tcPr>
          <w:p>
            <w:pPr>
              <w:spacing w:before="40" w:after="40"/>
              <w:rPr>
                <w:rFonts w:eastAsia="黑体"/>
                <w:szCs w:val="21"/>
                <w:lang w:eastAsia="ja-JP"/>
              </w:rPr>
            </w:pPr>
          </w:p>
        </w:tc>
        <w:tc>
          <w:tcPr>
            <w:tcW w:w="490" w:type="dxa"/>
            <w:vAlign w:val="center"/>
          </w:tcPr>
          <w:p>
            <w:pPr>
              <w:spacing w:before="40" w:after="40"/>
              <w:rPr>
                <w:rFonts w:eastAsia="黑体"/>
                <w:szCs w:val="21"/>
                <w:lang w:eastAsia="ja-JP"/>
              </w:rPr>
            </w:pPr>
          </w:p>
        </w:tc>
        <w:tc>
          <w:tcPr>
            <w:tcW w:w="2360" w:type="dxa"/>
            <w:vAlign w:val="center"/>
          </w:tcPr>
          <w:p>
            <w:pPr>
              <w:spacing w:before="40" w:after="40"/>
              <w:rPr>
                <w:rFonts w:eastAsia="黑体"/>
                <w:szCs w:val="21"/>
                <w:lang w:eastAsia="ja-JP"/>
              </w:rPr>
            </w:pPr>
          </w:p>
        </w:tc>
        <w:tc>
          <w:tcPr>
            <w:tcW w:w="1560"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799"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896" w:type="dxa"/>
            <w:vAlign w:val="center"/>
          </w:tcPr>
          <w:p>
            <w:pPr>
              <w:spacing w:before="40" w:after="40"/>
              <w:rPr>
                <w:rFonts w:eastAsia="黑体"/>
                <w:szCs w:val="21"/>
                <w:lang w:eastAsia="ja-JP"/>
              </w:rPr>
            </w:pPr>
          </w:p>
        </w:tc>
        <w:tc>
          <w:tcPr>
            <w:tcW w:w="2140" w:type="dxa"/>
            <w:vAlign w:val="center"/>
          </w:tcPr>
          <w:p>
            <w:pPr>
              <w:spacing w:before="40" w:after="40"/>
              <w:rPr>
                <w:rFonts w:eastAsia="黑体"/>
                <w:szCs w:val="21"/>
                <w:lang w:eastAsia="ja-JP"/>
              </w:rPr>
            </w:pPr>
          </w:p>
        </w:tc>
        <w:tc>
          <w:tcPr>
            <w:tcW w:w="490" w:type="dxa"/>
            <w:vAlign w:val="center"/>
          </w:tcPr>
          <w:p>
            <w:pPr>
              <w:spacing w:before="40" w:after="40"/>
              <w:rPr>
                <w:rFonts w:eastAsia="黑体"/>
                <w:szCs w:val="21"/>
                <w:lang w:eastAsia="ja-JP"/>
              </w:rPr>
            </w:pPr>
          </w:p>
        </w:tc>
        <w:tc>
          <w:tcPr>
            <w:tcW w:w="2360" w:type="dxa"/>
            <w:vAlign w:val="center"/>
          </w:tcPr>
          <w:p>
            <w:pPr>
              <w:spacing w:before="40" w:after="40"/>
              <w:rPr>
                <w:rFonts w:eastAsia="黑体"/>
                <w:szCs w:val="21"/>
                <w:lang w:eastAsia="ja-JP"/>
              </w:rPr>
            </w:pPr>
          </w:p>
        </w:tc>
        <w:tc>
          <w:tcPr>
            <w:tcW w:w="1560"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799"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896" w:type="dxa"/>
            <w:vAlign w:val="center"/>
          </w:tcPr>
          <w:p>
            <w:pPr>
              <w:spacing w:before="40" w:after="40"/>
              <w:rPr>
                <w:rFonts w:eastAsia="黑体"/>
                <w:szCs w:val="21"/>
                <w:lang w:eastAsia="ja-JP"/>
              </w:rPr>
            </w:pPr>
          </w:p>
        </w:tc>
        <w:tc>
          <w:tcPr>
            <w:tcW w:w="2140" w:type="dxa"/>
            <w:vAlign w:val="center"/>
          </w:tcPr>
          <w:p>
            <w:pPr>
              <w:spacing w:before="40" w:after="40"/>
              <w:rPr>
                <w:rFonts w:eastAsia="黑体"/>
                <w:szCs w:val="21"/>
                <w:lang w:eastAsia="ja-JP"/>
              </w:rPr>
            </w:pPr>
          </w:p>
        </w:tc>
        <w:tc>
          <w:tcPr>
            <w:tcW w:w="490" w:type="dxa"/>
            <w:vAlign w:val="center"/>
          </w:tcPr>
          <w:p>
            <w:pPr>
              <w:spacing w:before="40" w:after="40"/>
              <w:rPr>
                <w:rFonts w:eastAsia="黑体"/>
                <w:szCs w:val="21"/>
                <w:lang w:eastAsia="ja-JP"/>
              </w:rPr>
            </w:pPr>
          </w:p>
        </w:tc>
        <w:tc>
          <w:tcPr>
            <w:tcW w:w="2360" w:type="dxa"/>
            <w:vAlign w:val="center"/>
          </w:tcPr>
          <w:p>
            <w:pPr>
              <w:spacing w:before="40" w:after="40"/>
              <w:rPr>
                <w:rFonts w:eastAsia="黑体"/>
                <w:szCs w:val="21"/>
                <w:lang w:eastAsia="ja-JP"/>
              </w:rPr>
            </w:pPr>
          </w:p>
        </w:tc>
        <w:tc>
          <w:tcPr>
            <w:tcW w:w="1560"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799" w:type="dxa"/>
                <w:shd w:val="clear" w:color="auto" w:fill="FFFFFF"/>
              </w:tcPr>
              <w:p>
                <w:pPr>
                  <w:rPr>
                    <w:rFonts w:eastAsia="黑体"/>
                    <w:szCs w:val="21"/>
                  </w:rPr>
                </w:pPr>
                <w:r>
                  <w:rPr>
                    <w:rFonts w:ascii="Segoe UI Symbol" w:hAnsi="Segoe UI Symbol" w:eastAsia="黑体" w:cs="Segoe UI Symbol"/>
                    <w:szCs w:val="21"/>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2020-N1QMS-1263722</w:t>
            </w:r>
          </w:p>
        </w:tc>
        <w:tc>
          <w:tcPr>
            <w:tcW w:w="2179" w:type="dxa"/>
            <w:vAlign w:val="center"/>
          </w:tcPr>
          <w:p>
            <w: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rPr>
              <w:sym w:font="Wingdings 2" w:char="0052"/>
            </w:r>
            <w:r>
              <w:rPr>
                <w:rFonts w:hint="eastAsia"/>
              </w:rPr>
              <w:t>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rFonts w:hint="eastAsia" w:eastAsia="宋体"/>
          <w:lang w:eastAsia="zh-CN"/>
        </w:rPr>
      </w:pPr>
      <w:r>
        <w:rPr>
          <w:rFonts w:hint="eastAsia"/>
        </w:rPr>
        <w:t>未开具不符合报告在5工作日/一般不符合报告在20工作日/严重不符合在60个工作日之内，针对不符合原因制定并实施纠正措施。验证方式见《不符合项报告》</w:t>
      </w:r>
      <w:r>
        <w:rPr>
          <w:rFonts w:hint="eastAsia"/>
          <w:lang w:eastAsia="zh-CN"/>
        </w:rPr>
        <w:t>。</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w:t>
            </w:r>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r>
              <w:rPr>
                <w:rFonts w:hint="eastAsia" w:eastAsia="宋体"/>
                <w:lang w:eastAsia="zh-CN"/>
              </w:rPr>
              <w:drawing>
                <wp:inline distT="0" distB="0" distL="114300" distR="114300">
                  <wp:extent cx="692150" cy="165735"/>
                  <wp:effectExtent l="0" t="0" r="6350" b="12065"/>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6"/>
                          <a:stretch>
                            <a:fillRect/>
                          </a:stretch>
                        </pic:blipFill>
                        <pic:spPr>
                          <a:xfrm>
                            <a:off x="0" y="0"/>
                            <a:ext cx="692150" cy="165735"/>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2022.9.1</w:t>
            </w:r>
          </w:p>
        </w:tc>
      </w:tr>
    </w:tbl>
    <w:p/>
    <w:p/>
    <w:p>
      <w:pPr>
        <w:rPr>
          <w:rFonts w:hint="eastAsia"/>
        </w:rPr>
      </w:pPr>
    </w:p>
    <w:p>
      <w:pPr>
        <w:rPr>
          <w:rFonts w:hint="eastAsia"/>
        </w:rPr>
      </w:pP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70"/>
        <w:gridCol w:w="9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shd w:val="clear" w:color="auto" w:fill="C7DAF1" w:themeFill="text2" w:themeFillTint="32"/>
          </w:tcPr>
          <w:p>
            <w:pPr>
              <w:shd w:val="clear" w:color="auto" w:fill="C7DAF1" w:themeFill="text2" w:themeFillTint="32"/>
            </w:pPr>
            <w:r>
              <w:rPr>
                <w:rFonts w:hint="eastAsia"/>
              </w:rPr>
              <w:t>审核周期</w:t>
            </w:r>
          </w:p>
        </w:tc>
        <w:tc>
          <w:tcPr>
            <w:tcW w:w="9057"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57" w:type="dxa"/>
            <w:shd w:val="clear" w:color="auto" w:fill="C7DAF1" w:themeFill="text2" w:themeFillTint="32"/>
          </w:tcPr>
          <w:p>
            <w:pPr>
              <w:shd w:val="clear" w:color="auto" w:fill="C7DAF1" w:themeFill="text2" w:themeFillTint="32"/>
            </w:pPr>
            <w:r>
              <w:rPr>
                <w:rFonts w:hint="eastAsia"/>
              </w:rPr>
              <w:t>体系要素</w:t>
            </w:r>
          </w:p>
        </w:tc>
        <w:tc>
          <w:tcPr>
            <w:tcW w:w="9057"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restart"/>
            <w:shd w:val="clear" w:color="auto" w:fill="C7DAF1" w:themeFill="text2" w:themeFillTint="32"/>
          </w:tcPr>
          <w:p>
            <w:pPr>
              <w:shd w:val="clear" w:color="auto" w:fill="C7DAF1" w:themeFill="text2" w:themeFillTint="32"/>
            </w:pPr>
            <w:r>
              <w:rPr>
                <w:rFonts w:hint="eastAsia"/>
              </w:rPr>
              <w:t>组织环境</w:t>
            </w:r>
          </w:p>
        </w:tc>
        <w:tc>
          <w:tcPr>
            <w:tcW w:w="9057"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rPr>
                      <w:rFonts w:hint="eastAsia" w:eastAsia="宋体"/>
                      <w:lang w:val="en-US" w:eastAsia="zh-CN"/>
                    </w:rPr>
                  </w:pPr>
                  <w:r>
                    <w:rPr>
                      <w:rFonts w:hint="eastAsia"/>
                    </w:rPr>
                    <w:t>良好的使用感受</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A3"/>
            </w:r>
            <w:r>
              <w:rPr>
                <w:rFonts w:hint="eastAsia"/>
              </w:rPr>
              <w:t xml:space="preserve">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领导作用</w:t>
            </w:r>
          </w:p>
        </w:tc>
        <w:tc>
          <w:tcPr>
            <w:tcW w:w="9057"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widowControl/>
              <w:spacing w:before="40"/>
              <w:jc w:val="left"/>
              <w:rPr>
                <w:rFonts w:hint="eastAsia"/>
                <w:color w:val="000000"/>
                <w:szCs w:val="18"/>
                <w:u w:val="single"/>
              </w:rPr>
            </w:pPr>
            <w:r>
              <w:rPr>
                <w:rFonts w:hint="eastAsia"/>
              </w:rPr>
              <w:t>最高管理者制定了文件化的管理体系方针：</w:t>
            </w:r>
            <w:r>
              <w:rPr>
                <w:rFonts w:hint="eastAsia"/>
                <w:u w:val="single"/>
              </w:rPr>
              <w:t xml:space="preserve">  </w:t>
            </w:r>
            <w:r>
              <w:rPr>
                <w:rFonts w:hint="eastAsia"/>
                <w:color w:val="000000"/>
                <w:szCs w:val="18"/>
                <w:u w:val="single"/>
              </w:rPr>
              <w:t>质量第一，加强科学管理；持续改进，增强顾客满意</w:t>
            </w:r>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rPr>
                <w:rFonts w:hint="default" w:eastAsia="宋体"/>
                <w:lang w:val="en-US" w:eastAsia="zh-CN"/>
              </w:rPr>
            </w:pPr>
            <w:r>
              <w:rPr>
                <w:rFonts w:hint="eastAsia" w:eastAsia="宋体"/>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策划</w:t>
            </w:r>
          </w:p>
        </w:tc>
        <w:tc>
          <w:tcPr>
            <w:tcW w:w="9057"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售出成品出现质量问题</w:t>
                  </w:r>
                </w:p>
              </w:tc>
              <w:tc>
                <w:tcPr>
                  <w:tcW w:w="3965" w:type="dxa"/>
                </w:tcPr>
                <w:p>
                  <w:pPr>
                    <w:shd w:val="clear" w:color="auto" w:fill="C7DAF1" w:themeFill="text2" w:themeFillTint="32"/>
                  </w:pPr>
                  <w:r>
                    <w:rPr>
                      <w:rFonts w:hint="eastAsia"/>
                    </w:rPr>
                    <w:t>制定召回方案，并进行召回演练</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高压配电开关控制设备市场增长迅速，市场需求量加大；</w:t>
                  </w:r>
                </w:p>
              </w:tc>
              <w:tc>
                <w:tcPr>
                  <w:tcW w:w="3965" w:type="dxa"/>
                </w:tcPr>
                <w:p>
                  <w:pPr>
                    <w:shd w:val="clear" w:color="auto" w:fill="C7DAF1" w:themeFill="text2" w:themeFillTint="32"/>
                  </w:pPr>
                  <w:r>
                    <w:rPr>
                      <w:rFonts w:hint="eastAsia"/>
                    </w:rPr>
                    <w:t>提高产量，积极研制新产品，扩大市场占有率；</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default"/>
                      <w:lang w:val="en-US" w:eastAsia="zh-CN"/>
                    </w:rPr>
                  </w:pPr>
                  <w:r>
                    <w:rPr>
                      <w:rFonts w:hint="eastAsia"/>
                    </w:rPr>
                    <w:t>交货及时率90%以上</w:t>
                  </w:r>
                </w:p>
              </w:tc>
              <w:tc>
                <w:tcPr>
                  <w:tcW w:w="3136" w:type="dxa"/>
                  <w:shd w:val="clear" w:color="auto" w:fill="auto"/>
                  <w:vAlign w:val="center"/>
                </w:tcPr>
                <w:p>
                  <w:pPr>
                    <w:snapToGrid w:val="0"/>
                    <w:spacing w:before="50" w:line="240" w:lineRule="atLeast"/>
                    <w:jc w:val="both"/>
                    <w:rPr>
                      <w:rFonts w:hint="default" w:ascii="宋体" w:hAnsi="宋体" w:eastAsia="宋体" w:cs="宋体"/>
                      <w:kern w:val="0"/>
                      <w:sz w:val="21"/>
                      <w:szCs w:val="21"/>
                      <w:lang w:val="en-US" w:eastAsia="zh-CN" w:bidi="ar"/>
                    </w:rPr>
                  </w:pPr>
                  <w:r>
                    <w:rPr>
                      <w:rFonts w:hint="eastAsia" w:ascii="宋体" w:hAnsi="宋体"/>
                      <w:color w:val="000000"/>
                      <w:szCs w:val="21"/>
                      <w:lang w:val="en-US" w:eastAsia="zh-CN"/>
                    </w:rPr>
                    <w:t>实际交货时间</w:t>
                  </w:r>
                  <w:r>
                    <w:rPr>
                      <w:rFonts w:hint="eastAsia" w:ascii="宋体" w:hAnsi="宋体"/>
                      <w:color w:val="000000"/>
                      <w:szCs w:val="21"/>
                    </w:rPr>
                    <w:t>/</w:t>
                  </w:r>
                  <w:r>
                    <w:rPr>
                      <w:rFonts w:hint="eastAsia" w:ascii="宋体" w:hAnsi="宋体"/>
                      <w:color w:val="000000"/>
                      <w:szCs w:val="21"/>
                      <w:lang w:val="en-US" w:eastAsia="zh-CN"/>
                    </w:rPr>
                    <w:t>合同约定时间</w:t>
                  </w:r>
                  <w:r>
                    <w:rPr>
                      <w:rFonts w:hint="eastAsia" w:ascii="宋体" w:hAnsi="宋体"/>
                      <w:color w:val="000000"/>
                      <w:szCs w:val="21"/>
                    </w:rPr>
                    <w:t>X100%</w:t>
                  </w:r>
                </w:p>
              </w:tc>
              <w:tc>
                <w:tcPr>
                  <w:tcW w:w="1350" w:type="dxa"/>
                  <w:shd w:val="clear" w:color="auto" w:fill="auto"/>
                  <w:vAlign w:val="center"/>
                </w:tcPr>
                <w:p>
                  <w:pPr>
                    <w:snapToGrid w:val="0"/>
                    <w:spacing w:line="240" w:lineRule="atLeast"/>
                    <w:ind w:left="-288" w:leftChars="-137" w:firstLine="214" w:firstLineChars="102"/>
                    <w:jc w:val="center"/>
                    <w:rPr>
                      <w:rFonts w:hint="default" w:eastAsia="宋体"/>
                      <w:lang w:val="en-US" w:eastAsia="zh-CN"/>
                    </w:rPr>
                  </w:pPr>
                  <w:r>
                    <w:rPr>
                      <w:rFonts w:hint="eastAsia" w:ascii="宋体" w:hAnsi="宋体"/>
                      <w:szCs w:val="21"/>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default"/>
                      <w:lang w:val="en-US" w:eastAsia="zh-CN"/>
                    </w:rPr>
                  </w:pPr>
                  <w:r>
                    <w:rPr>
                      <w:rFonts w:hint="eastAsia"/>
                    </w:rPr>
                    <w:t>相关方满意率达到</w:t>
                  </w:r>
                  <w:r>
                    <w:rPr>
                      <w:rFonts w:hint="eastAsia"/>
                      <w:lang w:val="en-US" w:eastAsia="zh-CN"/>
                    </w:rPr>
                    <w:t>以上90%</w:t>
                  </w:r>
                </w:p>
              </w:tc>
              <w:tc>
                <w:tcPr>
                  <w:tcW w:w="3136" w:type="dxa"/>
                  <w:shd w:val="clear" w:color="auto" w:fill="auto"/>
                  <w:vAlign w:val="center"/>
                </w:tcPr>
                <w:p>
                  <w:pPr>
                    <w:snapToGrid w:val="0"/>
                    <w:spacing w:line="240" w:lineRule="atLeast"/>
                    <w:jc w:val="center"/>
                    <w:rPr>
                      <w:rFonts w:hint="default" w:ascii="宋体" w:hAnsi="宋体" w:eastAsia="宋体" w:cs="宋体"/>
                      <w:kern w:val="0"/>
                      <w:sz w:val="21"/>
                      <w:szCs w:val="21"/>
                      <w:lang w:val="en-US" w:eastAsia="zh-CN" w:bidi="ar"/>
                    </w:rPr>
                  </w:pPr>
                  <w:r>
                    <w:rPr>
                      <w:rFonts w:hint="eastAsia" w:ascii="宋体" w:hAnsi="宋体"/>
                      <w:color w:val="000000"/>
                      <w:szCs w:val="21"/>
                    </w:rPr>
                    <w:t>满意度达到数量/调查客户总数X100%</w:t>
                  </w:r>
                </w:p>
              </w:tc>
              <w:tc>
                <w:tcPr>
                  <w:tcW w:w="1350" w:type="dxa"/>
                  <w:shd w:val="clear" w:color="auto" w:fill="auto"/>
                  <w:vAlign w:val="center"/>
                </w:tcPr>
                <w:p>
                  <w:pPr>
                    <w:snapToGrid w:val="0"/>
                    <w:spacing w:line="240" w:lineRule="atLeast"/>
                    <w:ind w:left="-288" w:leftChars="-137" w:firstLine="214" w:firstLineChars="102"/>
                    <w:jc w:val="center"/>
                    <w:rPr>
                      <w:rFonts w:hint="default" w:ascii="宋体" w:hAnsi="宋体" w:eastAsia="宋体"/>
                      <w:lang w:val="en-US" w:eastAsia="zh-CN"/>
                    </w:rPr>
                  </w:pPr>
                  <w:r>
                    <w:rPr>
                      <w:rFonts w:hint="eastAsia" w:ascii="宋体" w:hAnsi="宋体"/>
                      <w:szCs w:val="21"/>
                      <w:lang w:val="en-US" w:eastAsia="zh-CN"/>
                    </w:rPr>
                    <w:t xml:space="preserve"> 供销部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spacing w:line="240" w:lineRule="atLeast"/>
                    <w:jc w:val="center"/>
                  </w:pPr>
                </w:p>
              </w:tc>
              <w:tc>
                <w:tcPr>
                  <w:tcW w:w="3136" w:type="dxa"/>
                  <w:shd w:val="clear" w:color="auto" w:fill="auto"/>
                  <w:vAlign w:val="center"/>
                </w:tcPr>
                <w:p>
                  <w:pPr>
                    <w:snapToGrid w:val="0"/>
                    <w:spacing w:line="240" w:lineRule="atLeast"/>
                    <w:jc w:val="center"/>
                    <w:rPr>
                      <w:rFonts w:ascii="宋体" w:hAnsi="宋体"/>
                    </w:rPr>
                  </w:pPr>
                </w:p>
              </w:tc>
              <w:tc>
                <w:tcPr>
                  <w:tcW w:w="1350" w:type="dxa"/>
                  <w:shd w:val="clear" w:color="auto" w:fill="auto"/>
                  <w:vAlign w:val="center"/>
                </w:tcPr>
                <w:p>
                  <w:pPr>
                    <w:snapToGrid w:val="0"/>
                    <w:spacing w:line="240" w:lineRule="atLeast"/>
                    <w:ind w:left="-137" w:leftChars="0"/>
                    <w:jc w:val="right"/>
                    <w:rPr>
                      <w:rFonts w:hint="default" w:ascii="宋体" w:hAnsi="宋体" w:eastAsia="宋体"/>
                      <w:lang w:val="en-US" w:eastAsia="zh-CN"/>
                    </w:rPr>
                  </w:pP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spacing w:line="240" w:lineRule="atLeast"/>
                    <w:jc w:val="center"/>
                  </w:pPr>
                </w:p>
              </w:tc>
              <w:tc>
                <w:tcPr>
                  <w:tcW w:w="3136" w:type="dxa"/>
                  <w:shd w:val="clear" w:color="auto" w:fill="auto"/>
                  <w:vAlign w:val="center"/>
                </w:tcPr>
                <w:p>
                  <w:pPr>
                    <w:snapToGrid w:val="0"/>
                    <w:spacing w:line="240" w:lineRule="atLeast"/>
                    <w:jc w:val="center"/>
                    <w:rPr>
                      <w:rFonts w:ascii="宋体" w:hAnsi="宋体"/>
                    </w:rPr>
                  </w:pPr>
                </w:p>
              </w:tc>
              <w:tc>
                <w:tcPr>
                  <w:tcW w:w="1350" w:type="dxa"/>
                  <w:shd w:val="clear" w:color="auto" w:fill="auto"/>
                  <w:vAlign w:val="center"/>
                </w:tcPr>
                <w:p>
                  <w:pPr>
                    <w:snapToGrid w:val="0"/>
                    <w:spacing w:line="240" w:lineRule="atLeast"/>
                    <w:ind w:left="-137" w:leftChars="0"/>
                    <w:jc w:val="right"/>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spacing w:line="240" w:lineRule="atLeast"/>
                    <w:jc w:val="center"/>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napToGrid w:val="0"/>
                    <w:spacing w:line="240" w:lineRule="atLeast"/>
                    <w:ind w:left="-137" w:leftChars="0"/>
                    <w:jc w:val="right"/>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spacing w:line="240" w:lineRule="atLeast"/>
                    <w:jc w:val="center"/>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napToGrid w:val="0"/>
                    <w:spacing w:line="240" w:lineRule="atLeast"/>
                    <w:ind w:left="-137" w:leftChars="0"/>
                    <w:jc w:val="right"/>
                    <w:rPr>
                      <w:rFonts w:hint="eastAsia" w:ascii="宋体" w:hAnsi="宋体" w:eastAsia="宋体" w:cs="Times New Roman"/>
                      <w:kern w:val="2"/>
                      <w:sz w:val="21"/>
                      <w:szCs w:val="21"/>
                      <w:lang w:val="en-US" w:eastAsia="zh-CN" w:bidi="ar-SA"/>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spacing w:line="240" w:lineRule="atLeast"/>
                    <w:jc w:val="center"/>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restart"/>
            <w:shd w:val="clear" w:color="auto" w:fill="C7DAF1" w:themeFill="text2" w:themeFillTint="32"/>
          </w:tcPr>
          <w:p>
            <w:pPr>
              <w:shd w:val="clear" w:color="auto" w:fill="C7DAF1" w:themeFill="text2" w:themeFillTint="32"/>
            </w:pPr>
            <w:r>
              <w:rPr>
                <w:rFonts w:hint="eastAsia"/>
              </w:rPr>
              <w:t>支持</w:t>
            </w:r>
          </w:p>
        </w:tc>
        <w:tc>
          <w:tcPr>
            <w:tcW w:w="9057"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cs="宋体"/>
                <w:color w:val="auto"/>
                <w:sz w:val="21"/>
                <w:szCs w:val="21"/>
                <w:lang w:val="en-US" w:eastAsia="zh-CN"/>
              </w:rPr>
              <w:t>约800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电钻、液压钳、线槽切割器列举2~4种）</w:t>
            </w:r>
          </w:p>
          <w:p>
            <w:pPr>
              <w:shd w:val="clear" w:color="auto" w:fill="C7DAF1" w:themeFill="text2" w:themeFillTint="32"/>
            </w:pPr>
            <w:r>
              <w:rPr>
                <w:rFonts w:hint="eastAsia"/>
              </w:rPr>
              <w:t xml:space="preserve">特种设备：叉车 行车 锅炉 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特种设备管理：进行了定期检验  未进行定期检验的有：</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ascii="Times New Roman" w:hAnsi="Times New Roman" w:eastAsia="宋体" w:cs="Times New Roman"/>
                <w:szCs w:val="21"/>
                <w:u w:val="single"/>
                <w:lang w:val="en-US" w:eastAsia="zh-CN"/>
              </w:rPr>
              <w:t>游标卡尺</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直流低电阻测试仪</w:t>
            </w:r>
            <w:r>
              <w:rPr>
                <w:rFonts w:hint="eastAsia"/>
                <w:u w:val="single"/>
              </w:rPr>
              <w:t xml:space="preserve"> （列举1~4种）</w:t>
            </w:r>
          </w:p>
          <w:p>
            <w:pPr>
              <w:shd w:val="clear" w:color="auto" w:fill="C7DAF1" w:themeFill="text2" w:themeFillTint="32"/>
              <w:rPr>
                <w:u w:val="single"/>
              </w:rPr>
            </w:pPr>
            <w:r>
              <w:rPr>
                <w:rFonts w:hint="eastAsia"/>
              </w:rPr>
              <w:t>计量器具管理：■进行了定期校准/检定 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 ■生产经验  ■管理软件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w:t>
            </w:r>
            <w:r>
              <w:rPr>
                <w:rFonts w:hint="eastAsia" w:ascii="Wingdings" w:hAnsi="Wingdings"/>
              </w:rPr>
              <w:t>¨</w:t>
            </w:r>
            <w:r>
              <w:rPr>
                <w:rFonts w:hint="eastAsia"/>
              </w:rPr>
              <w:t xml:space="preserve">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restart"/>
            <w:shd w:val="clear" w:color="auto" w:fill="C7DAF1" w:themeFill="text2" w:themeFillTint="32"/>
          </w:tcPr>
          <w:p>
            <w:pPr>
              <w:shd w:val="clear" w:color="auto" w:fill="C7DAF1" w:themeFill="text2" w:themeFillTint="32"/>
            </w:pPr>
            <w:r>
              <w:rPr>
                <w:rFonts w:hint="eastAsia"/>
              </w:rPr>
              <w:t>运行</w:t>
            </w:r>
          </w:p>
        </w:tc>
        <w:tc>
          <w:tcPr>
            <w:tcW w:w="9057"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组织的生产和服务提供流程图（见第三条款），</w:t>
            </w:r>
          </w:p>
          <w:p>
            <w:pPr>
              <w:shd w:val="clear" w:color="auto" w:fill="C7DAF1" w:themeFill="text2" w:themeFillTint="32"/>
              <w:jc w:val="left"/>
            </w:pPr>
            <w:r>
              <w:rPr>
                <w:rFonts w:hint="eastAsia" w:ascii="Times New Roman" w:hAnsi="Times New Roman" w:eastAsia="宋体" w:cs="Times New Roman"/>
              </w:rPr>
              <w:t>认证范围内每种产品/服务流程的关键过程及</w:t>
            </w:r>
            <w:r>
              <w:rPr>
                <w:rFonts w:hint="eastAsia"/>
              </w:rPr>
              <w:t>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产品/服务名称</w:t>
                  </w:r>
                </w:p>
              </w:tc>
              <w:tc>
                <w:tcPr>
                  <w:tcW w:w="3665" w:type="dxa"/>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关键过程</w:t>
                  </w:r>
                </w:p>
              </w:tc>
              <w:tc>
                <w:tcPr>
                  <w:tcW w:w="3265" w:type="dxa"/>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rPr>
                    <w:t>CT二次过电压保护产品</w:t>
                  </w:r>
                </w:p>
              </w:tc>
              <w:tc>
                <w:tcPr>
                  <w:tcW w:w="36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组装</w:t>
                  </w: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外观、尺寸、质量符合要求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微机消谐装置</w:t>
                  </w:r>
                </w:p>
              </w:tc>
              <w:tc>
                <w:tcPr>
                  <w:tcW w:w="3665" w:type="dxa"/>
                  <w:vAlign w:val="top"/>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组装</w:t>
                  </w:r>
                </w:p>
              </w:tc>
              <w:tc>
                <w:tcPr>
                  <w:tcW w:w="3265" w:type="dxa"/>
                  <w:vAlign w:val="top"/>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外观、尺寸、质量符合要求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default" w:ascii="Times New Roman" w:hAnsi="Times New Roman" w:eastAsia="宋体" w:cs="Times New Roman"/>
                      <w:lang w:val="en-US"/>
                    </w:rPr>
                  </w:pPr>
                  <w:r>
                    <w:rPr>
                      <w:rFonts w:hint="eastAsia" w:ascii="Times New Roman" w:hAnsi="Times New Roman" w:eastAsia="宋体" w:cs="Times New Roman"/>
                      <w:lang w:val="en-US" w:eastAsia="zh-CN"/>
                    </w:rPr>
                    <w:t>开关柜智能操控</w:t>
                  </w:r>
                </w:p>
              </w:tc>
              <w:tc>
                <w:tcPr>
                  <w:tcW w:w="3665" w:type="dxa"/>
                  <w:vAlign w:val="top"/>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组装</w:t>
                  </w:r>
                </w:p>
              </w:tc>
              <w:tc>
                <w:tcPr>
                  <w:tcW w:w="3265" w:type="dxa"/>
                  <w:vAlign w:val="top"/>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外观、尺寸、质量符合要求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szCs w:val="21"/>
                      <w:lang w:val="en-US" w:eastAsia="zh-CN"/>
                    </w:rPr>
                  </w:pPr>
                </w:p>
              </w:tc>
              <w:tc>
                <w:tcPr>
                  <w:tcW w:w="3665" w:type="dxa"/>
                </w:tcPr>
                <w:p>
                  <w:pPr>
                    <w:shd w:val="clear" w:color="auto" w:fill="C7DAF1" w:themeFill="text2" w:themeFillTint="32"/>
                    <w:jc w:val="left"/>
                    <w:rPr>
                      <w:rFonts w:hint="default" w:eastAsia="宋体"/>
                      <w:lang w:val="en-US" w:eastAsia="zh-CN"/>
                    </w:rPr>
                  </w:pP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组装</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■原材料 ■设备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■维修 ■赔偿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 xml:space="preserve">变更控制：符合要求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■首件检验 ■过程检验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微机型消谐小电流接地选线装置</w:t>
            </w:r>
            <w:r>
              <w:rPr>
                <w:rFonts w:hint="eastAsia"/>
                <w:u w:val="single"/>
                <w:lang w:val="en-US" w:eastAsia="zh-CN"/>
              </w:rPr>
              <w:t>等</w:t>
            </w:r>
            <w:bookmarkStart w:id="34" w:name="_GoBack"/>
            <w:bookmarkEnd w:id="34"/>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绩效评价</w:t>
            </w:r>
          </w:p>
        </w:tc>
        <w:tc>
          <w:tcPr>
            <w:tcW w:w="9057"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改进</w:t>
            </w:r>
          </w:p>
        </w:tc>
        <w:tc>
          <w:tcPr>
            <w:tcW w:w="9057"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4NjI5OTBmMDM1ODFlMDkzNDFlZTFiMWNhZWU5ZTMifQ=="/>
  </w:docVars>
  <w:rsids>
    <w:rsidRoot w:val="00000000"/>
    <w:rsid w:val="0D843727"/>
    <w:rsid w:val="1DFA6742"/>
    <w:rsid w:val="211C51E4"/>
    <w:rsid w:val="295F6FD6"/>
    <w:rsid w:val="2BDF65F0"/>
    <w:rsid w:val="32157CE1"/>
    <w:rsid w:val="326B2CBF"/>
    <w:rsid w:val="47207130"/>
    <w:rsid w:val="48013092"/>
    <w:rsid w:val="4CC312AD"/>
    <w:rsid w:val="52AA6800"/>
    <w:rsid w:val="58FD5F53"/>
    <w:rsid w:val="5D4635C9"/>
    <w:rsid w:val="78CB27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2022-09-01T01:00:18Z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2052-11.1.0.12353</vt:lpwstr>
  </property>
</Properties>
</file>