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b/>
          <w:bCs/>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江苏凤灵钢琴有限公司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0162-2020-2022</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0162-2020-2022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江苏凤灵钢琴有限公司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李瑞林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ISC-2020-0782</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2025-08-24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2022年08月28日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color w:val="000000"/>
                <w:szCs w:val="21"/>
                <w:shd w:val="clear" w:color="auto" w:fill="auto"/>
                <w:lang w:val="en-US" w:eastAsia="zh-CN"/>
              </w:rPr>
            </w:pPr>
            <w:r>
              <w:rPr>
                <w:rFonts w:hint="eastAsia"/>
                <w:color w:val="000000"/>
                <w:szCs w:val="21"/>
                <w:shd w:val="clear" w:color="auto" w:fill="auto"/>
                <w:lang w:val="en-US" w:eastAsia="zh-CN"/>
              </w:rPr>
              <w:t>黄金荣</w:t>
            </w:r>
          </w:p>
          <w:p>
            <w:pPr>
              <w:tabs>
                <w:tab w:val="left" w:pos="880"/>
              </w:tabs>
              <w:autoSpaceDE w:val="0"/>
              <w:autoSpaceDN w:val="0"/>
              <w:adjustRightInd w:val="0"/>
              <w:spacing w:before="35" w:line="276" w:lineRule="auto"/>
              <w:ind w:right="161"/>
              <w:rPr>
                <w:color w:val="000000"/>
                <w:szCs w:val="21"/>
                <w:shd w:val="clear" w:color="auto" w:fill="auto"/>
              </w:rPr>
            </w:pPr>
            <w:r>
              <w:rPr>
                <w:color w:val="000000"/>
                <w:szCs w:val="21"/>
                <w:shd w:val="clear" w:color="auto" w:fill="auto"/>
              </w:rPr>
              <w:t>2021-M1MMS-2227641</w:t>
            </w:r>
          </w:p>
          <w:p>
            <w:pPr>
              <w:tabs>
                <w:tab w:val="left" w:pos="880"/>
              </w:tabs>
              <w:autoSpaceDE w:val="0"/>
              <w:autoSpaceDN w:val="0"/>
              <w:adjustRightInd w:val="0"/>
              <w:spacing w:before="35" w:line="276" w:lineRule="auto"/>
              <w:ind w:right="161"/>
              <w:rPr>
                <w:rFonts w:hint="eastAsia"/>
                <w:color w:val="000000"/>
                <w:szCs w:val="21"/>
                <w:shd w:val="clear" w:color="auto" w:fill="auto"/>
                <w:lang w:val="en-US" w:eastAsia="zh-CN"/>
              </w:rPr>
            </w:pPr>
            <w:r>
              <w:rPr>
                <w:rFonts w:hint="eastAsia"/>
                <w:color w:val="000000"/>
                <w:szCs w:val="21"/>
                <w:shd w:val="clear" w:color="auto" w:fill="auto"/>
                <w:lang w:val="en-US" w:eastAsia="zh-CN"/>
              </w:rPr>
              <w:t>蔡萍</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color w:val="000000"/>
                <w:szCs w:val="21"/>
                <w:shd w:val="clear" w:color="auto" w:fill="auto"/>
              </w:rPr>
              <w:t>2021-M1MMS-2274225</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eastAsia="宋体" w:cs="宋体"/>
                <w:kern w:val="0"/>
                <w:szCs w:val="21"/>
                <w:lang w:eastAsia="zh-CN"/>
              </w:rPr>
            </w:pPr>
            <w:r>
              <w:rPr>
                <w:rFonts w:hint="eastAsia" w:ascii="宋体" w:hAnsi="宋体"/>
                <w:color w:val="auto"/>
                <w:szCs w:val="21"/>
              </w:rPr>
              <w:t>管理者代表</w:t>
            </w:r>
            <w:r>
              <w:rPr>
                <w:rFonts w:hint="eastAsia" w:ascii="宋体" w:hAnsi="宋体"/>
                <w:color w:val="auto"/>
                <w:szCs w:val="21"/>
                <w:lang w:eastAsia="zh-CN"/>
              </w:rPr>
              <w:t>、</w:t>
            </w:r>
            <w:r>
              <w:rPr>
                <w:rFonts w:hint="eastAsia" w:ascii="宋体" w:hAnsi="宋体" w:cs="宋体"/>
                <w:kern w:val="0"/>
                <w:szCs w:val="21"/>
                <w:lang w:val="en-US" w:eastAsia="zh-CN"/>
              </w:rPr>
              <w:t>技术设备</w:t>
            </w:r>
            <w:r>
              <w:rPr>
                <w:rFonts w:hint="eastAsia" w:ascii="宋体" w:hAnsi="宋体" w:cs="宋体"/>
                <w:kern w:val="0"/>
                <w:szCs w:val="21"/>
              </w:rPr>
              <w:t>部</w:t>
            </w:r>
            <w:r>
              <w:rPr>
                <w:rFonts w:hint="eastAsia" w:ascii="宋体" w:hAnsi="宋体" w:cs="宋体"/>
                <w:kern w:val="0"/>
                <w:szCs w:val="21"/>
                <w:lang w:eastAsia="zh-CN"/>
              </w:rPr>
              <w:t>、</w:t>
            </w:r>
            <w:r>
              <w:rPr>
                <w:rFonts w:hint="eastAsia" w:ascii="宋体" w:hAnsi="宋体"/>
                <w:color w:val="auto"/>
                <w:szCs w:val="21"/>
                <w:lang w:val="en-US" w:eastAsia="zh-CN"/>
              </w:rPr>
              <w:t>生产</w:t>
            </w:r>
            <w:r>
              <w:rPr>
                <w:rFonts w:hint="eastAsia" w:ascii="宋体" w:hAnsi="宋体" w:cs="宋体"/>
                <w:kern w:val="0"/>
                <w:szCs w:val="21"/>
              </w:rPr>
              <w:t>部</w:t>
            </w:r>
            <w:r>
              <w:rPr>
                <w:rFonts w:hint="eastAsia" w:ascii="宋体" w:hAnsi="宋体" w:cs="宋体"/>
                <w:kern w:val="0"/>
                <w:szCs w:val="21"/>
                <w:lang w:eastAsia="zh-CN"/>
              </w:rPr>
              <w:t>（</w:t>
            </w:r>
            <w:r>
              <w:rPr>
                <w:rFonts w:hint="eastAsia" w:ascii="宋体" w:hAnsi="宋体" w:cs="宋体"/>
                <w:kern w:val="0"/>
                <w:szCs w:val="21"/>
                <w:lang w:val="en-US" w:eastAsia="zh-CN"/>
              </w:rPr>
              <w:t>车间</w:t>
            </w:r>
            <w:r>
              <w:rPr>
                <w:rFonts w:hint="eastAsia" w:ascii="宋体" w:hAnsi="宋体" w:cs="宋体"/>
                <w:kern w:val="0"/>
                <w:szCs w:val="21"/>
                <w:lang w:eastAsia="zh-CN"/>
              </w:rPr>
              <w:t>）、</w:t>
            </w:r>
          </w:p>
          <w:p>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质管部、采购部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spacing w:line="360" w:lineRule="auto"/>
        <w:rPr>
          <w:rFonts w:hint="eastAsia" w:asciiTheme="majorEastAsia" w:hAnsiTheme="majorEastAsia" w:eastAsiaTheme="majorEastAsia" w:cstheme="majorEastAsia"/>
          <w:color w:val="auto"/>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2.1公司于2022年7月30日至7月31日组织了公司测量管理体系内审，内审分1个组，对公司6个部门和车间进行了审核，共开出了1个不符合项，到目前为止不符合项已全部完成整改。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2022年8月18日开展了测量管理体系管理评审，会议由公司总经理姚瑶主持，由管理者代表汇报了测量体系运行情况。相关部门汇报了本部门分管的测量体系相关工作。会议肯定了公司测量管理体系的充分性、有效性和适宜性。形成了管理评审报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弦轴直径均匀度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a)计量要求的导出和验证：查弦轴直径均匀度测量过程，计量要求导出方法正确，验证满足测量过程要求。祥见附件《计量要求导出及验证记录表》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b)测量不确定评定：查弦轴直径均匀度测量过程，测量不确定度评定方法正确。祥见附件《测量不确定度评定》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c)有效性确认：查弦轴直径均匀度测量过程有效性确认，满足要求。祥见附件《测量过程有效性确认》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d)测量过程的控制：查弦轴直径均匀度测量过程，编制了控制规范，对测量人员、测量设备、测量环境进行控制，满足要求。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e)测量过程的监视：查弦轴直径均匀度测量过程，采用统计技术进行控制和监视测量过程。祥见《测量过程监视记录》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技术设备部负责组织委外检定/校准。公司测量设备委托泰兴市产品质量综合检验检测中心检定/校准，抽查7台测量设备检定/校准证书，溯源满足要求。祥见《测量设备溯源检查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能源管理情况：企业不是重点能耗单位，企业主要耗能有电、水，查：2021年1-12月电、水用量，全年消耗电量22911.5 kWh，水1299.7t，合计耗能3.1 tce。符合GB17167-2006的要求。</w:t>
      </w:r>
    </w:p>
    <w:p>
      <w:pPr>
        <w:keepNext w:val="0"/>
        <w:keepLines w:val="0"/>
        <w:pageBreakBefore w:val="0"/>
        <w:widowControl/>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对认证审核时提出的的不符合项的纠正措施情况： </w:t>
      </w:r>
    </w:p>
    <w:p>
      <w:pPr>
        <w:keepNext w:val="0"/>
        <w:keepLines w:val="0"/>
        <w:pageBreakBefore w:val="0"/>
        <w:widowControl/>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去年监督审核未发现不符合项。</w:t>
      </w:r>
    </w:p>
    <w:p>
      <w:pPr>
        <w:keepNext w:val="0"/>
        <w:keepLines w:val="0"/>
        <w:pageBreakBefore w:val="0"/>
        <w:widowControl/>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企业根据测量体系质量方针，制定了4项质量目标，目标可测量，编制了《测量管理体系质量目标监测表 》，统计质量目标完成情况。查:2022年1至2季度质量目标全部完成。</w:t>
      </w:r>
      <w:r>
        <w:rPr>
          <w:rFonts w:hint="eastAsia" w:ascii="宋体" w:hAnsi="宋体" w:eastAsia="宋体" w:cs="宋体"/>
          <w:bCs/>
          <w:color w:val="auto"/>
          <w:kern w:val="0"/>
          <w:sz w:val="24"/>
          <w:szCs w:val="24"/>
          <w:lang w:val="en-US" w:eastAsia="zh-CN"/>
        </w:rPr>
        <w:t>企业测量体系进一步满足顾客、质量、服务等方面的要求，符合GB/T 19022-2003标准要求。使其更具有动态性和适宜性、有效性及对持续运作的控制。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企业营业执照已发生变更，企业法人代表由李瑞林变更为姚瑶，其他没有变更。2022年04月18日取得新的营业执照。</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bookmarkStart w:id="11" w:name="_GoBack"/>
      <w:bookmarkEnd w:id="11"/>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numPr>
          <w:ilvl w:val="0"/>
          <w:numId w:val="2"/>
        </w:numPr>
        <w:spacing w:line="440" w:lineRule="exact"/>
        <w:ind w:right="-27" w:rightChars="-13"/>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本次审核未发现一般不符合项 ，未发现严重或系统性的不符合情况。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产品的销售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抽查江苏凤灵钢琴有限公司《销售合同》，合同编号：2022-0526。签订时间2022年5月26日。经确认企业对应的产品生产过程涉及有对应的测量过程和测量设备，测量设备的配备满足该合同的产品生产和检验要求。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8月28日，对江苏凤灵钢琴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江苏凤灵钢琴有限公司测量管理体系，符合GB/T 19022-2003标准要求，对体系运行具有持续的有效性、符合性予以肯定。建议报请国标联合认证有限公司批准通过监督审核。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widowControl/>
        <w:spacing w:line="360" w:lineRule="auto"/>
        <w:rPr>
          <w:rFonts w:cs="宋体" w:asciiTheme="minorEastAsia" w:hAnsiTheme="minorEastAsia"/>
          <w:color w:val="auto"/>
          <w:kern w:val="0"/>
          <w:szCs w:val="21"/>
        </w:rPr>
      </w:pPr>
      <w:r>
        <w:rPr>
          <w:rFonts w:hint="eastAsia" w:ascii="宋体" w:hAnsi="宋体" w:eastAsia="宋体" w:cs="宋体"/>
          <w:bCs/>
          <w:color w:val="auto"/>
          <w:kern w:val="0"/>
          <w:sz w:val="24"/>
          <w:szCs w:val="24"/>
          <w:lang w:val="en-US" w:eastAsia="zh-CN"/>
        </w:rPr>
        <w:t xml:space="preserve">                                 </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kern w:val="0"/>
          <w:szCs w:val="21"/>
        </w:rPr>
      </w:pPr>
      <w:r>
        <w:rPr>
          <w:rFonts w:hint="eastAsia" w:ascii="宋体" w:hAnsi="宋体" w:eastAsia="宋体" w:cs="宋体"/>
          <w:bCs/>
          <w:color w:val="auto"/>
          <w:kern w:val="0"/>
          <w:sz w:val="24"/>
          <w:szCs w:val="24"/>
          <w:lang w:val="en-US" w:eastAsia="zh-CN"/>
        </w:rPr>
        <w:drawing>
          <wp:anchor distT="0" distB="0" distL="114300" distR="114300" simplePos="0" relativeHeight="251668480" behindDoc="0" locked="0" layoutInCell="1" allowOverlap="1">
            <wp:simplePos x="0" y="0"/>
            <wp:positionH relativeFrom="column">
              <wp:posOffset>1459230</wp:posOffset>
            </wp:positionH>
            <wp:positionV relativeFrom="paragraph">
              <wp:posOffset>1270</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2022年8月28日</w:t>
      </w:r>
    </w:p>
    <w:p>
      <w:pPr>
        <w:widowControl/>
        <w:spacing w:line="360" w:lineRule="auto"/>
        <w:jc w:val="left"/>
        <w:rPr>
          <w:rFonts w:ascii="宋体" w:hAnsi="宋体" w:eastAsia="宋体" w:cs="宋体"/>
          <w:color w:val="000000"/>
          <w:kern w:val="0"/>
          <w:szCs w:val="21"/>
        </w:rPr>
      </w:pPr>
      <w:r>
        <w:rPr>
          <w:rFonts w:ascii="宋体" w:hAnsi="宋体" w:eastAsia="宋体" w:cs="宋体"/>
          <w:sz w:val="24"/>
          <w:szCs w:val="24"/>
        </w:rPr>
        <w:drawing>
          <wp:anchor distT="0" distB="0" distL="114300" distR="114300" simplePos="0" relativeHeight="251671552" behindDoc="0" locked="0" layoutInCell="1" allowOverlap="1">
            <wp:simplePos x="0" y="0"/>
            <wp:positionH relativeFrom="column">
              <wp:posOffset>1478915</wp:posOffset>
            </wp:positionH>
            <wp:positionV relativeFrom="paragraph">
              <wp:posOffset>251460</wp:posOffset>
            </wp:positionV>
            <wp:extent cx="516890" cy="293370"/>
            <wp:effectExtent l="0" t="0" r="6985" b="1905"/>
            <wp:wrapNone/>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7"/>
                    <a:stretch>
                      <a:fillRect/>
                    </a:stretch>
                  </pic:blipFill>
                  <pic:spPr>
                    <a:xfrm>
                      <a:off x="0" y="0"/>
                      <a:ext cx="516890" cy="293370"/>
                    </a:xfrm>
                    <a:prstGeom prst="rect">
                      <a:avLst/>
                    </a:prstGeom>
                    <a:noFill/>
                    <a:ln>
                      <a:noFill/>
                    </a:ln>
                  </pic:spPr>
                </pic:pic>
              </a:graphicData>
            </a:graphic>
          </wp:anchor>
        </w:drawing>
      </w: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2022年8月28日</w:t>
      </w:r>
    </w:p>
    <w:p>
      <w:pPr>
        <w:widowControl/>
        <w:spacing w:line="276" w:lineRule="auto"/>
        <w:ind w:right="945"/>
        <w:jc w:val="left"/>
        <w:rPr>
          <w:rFonts w:ascii="宋体" w:hAnsi="宋体" w:eastAsia="宋体" w:cs="宋体"/>
          <w:kern w:val="0"/>
          <w:szCs w:val="28"/>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日 期：</w:t>
      </w:r>
    </w:p>
    <w:p>
      <w:pPr>
        <w:pStyle w:val="2"/>
        <w:bidi w:val="0"/>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4"/>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3A7FC"/>
    <w:multiLevelType w:val="singleLevel"/>
    <w:tmpl w:val="A9C3A7FC"/>
    <w:lvl w:ilvl="0" w:tentative="0">
      <w:start w:val="10"/>
      <w:numFmt w:val="decimal"/>
      <w:lvlText w:val="%1."/>
      <w:lvlJc w:val="left"/>
      <w:pPr>
        <w:tabs>
          <w:tab w:val="left" w:pos="312"/>
        </w:tabs>
      </w:pPr>
    </w:lvl>
  </w:abstractNum>
  <w:abstractNum w:abstractNumId="1">
    <w:nsid w:val="16FF7031"/>
    <w:multiLevelType w:val="singleLevel"/>
    <w:tmpl w:val="16FF7031"/>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5C7627"/>
    <w:rsid w:val="1D622854"/>
    <w:rsid w:val="2E810368"/>
    <w:rsid w:val="2EAB62E1"/>
    <w:rsid w:val="6CA07569"/>
    <w:rsid w:val="778B7635"/>
    <w:rsid w:val="7B1F2B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8</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2022-08-28T02:25:09Z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