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762"/>
        <w:gridCol w:w="323"/>
        <w:gridCol w:w="638"/>
        <w:gridCol w:w="248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重庆市建维工程检测有限公司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93980</wp:posOffset>
                  </wp:positionV>
                  <wp:extent cx="584835" cy="325755"/>
                  <wp:effectExtent l="0" t="0" r="12065" b="4445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8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见证取样检测、市政道路工程检测、市政桥梁工程检测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69850</wp:posOffset>
                  </wp:positionV>
                  <wp:extent cx="573405" cy="288925"/>
                  <wp:effectExtent l="0" t="0" r="10795" b="3175"/>
                  <wp:wrapNone/>
                  <wp:docPr id="5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检测流程：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合同签订—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技术</w:t>
            </w: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方案（需要时）—抽样（见证取样）—实施检测—出具报告—交付。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关键/需确认过程：检测服务过程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主要质量要求：数据准确，检测及时等，按操作规范、验收标准进行控制。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eastAsia="zh-CN"/>
              </w:rPr>
              <w:t>《钢筋混凝土用钢:带肋钢筋》GB/T 1499.2-2018</w:t>
            </w: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 w:eastAsia="宋体"/>
                <w:b w:val="0"/>
                <w:bCs/>
                <w:sz w:val="20"/>
                <w:szCs w:val="22"/>
                <w:lang w:eastAsia="zh-CN"/>
              </w:rPr>
              <w:t>《公路工程技术标准》JTG B01-2014《公路路基路面现场测试规程》JTG E60-2008</w:t>
            </w: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 w:eastAsia="宋体"/>
                <w:b w:val="0"/>
                <w:bCs/>
                <w:sz w:val="20"/>
                <w:szCs w:val="22"/>
                <w:lang w:eastAsia="zh-CN"/>
              </w:rPr>
              <w:t>《公路桥梁承载能力检测评定规程》JTG/T J21-2011等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eastAsia="zh-CN"/>
              </w:rPr>
              <w:t>无</w:t>
            </w:r>
            <w:r>
              <w:rPr>
                <w:rFonts w:hint="eastAsia" w:eastAsia="宋体"/>
                <w:b w:val="0"/>
                <w:bCs/>
                <w:sz w:val="20"/>
                <w:szCs w:val="22"/>
              </w:rPr>
              <w:t>型式试验要求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</w:rPr>
              <w:t>检验和试验项目</w:t>
            </w:r>
            <w:r>
              <w:rPr>
                <w:rFonts w:hint="eastAsia" w:eastAsia="宋体"/>
                <w:b w:val="0"/>
                <w:bCs/>
                <w:sz w:val="20"/>
                <w:szCs w:val="22"/>
                <w:lang w:eastAsia="zh-CN"/>
              </w:rPr>
              <w:t>：检测过程原始记录及出具检测报告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160655</wp:posOffset>
                  </wp:positionV>
                  <wp:extent cx="812800" cy="400050"/>
                  <wp:effectExtent l="0" t="0" r="0" b="6350"/>
                  <wp:wrapNone/>
                  <wp:docPr id="4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2"/>
                <w:szCs w:val="22"/>
                <w:lang w:val="en-US"/>
              </w:rPr>
            </w:pP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2022年08月2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日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19：00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2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156210</wp:posOffset>
                  </wp:positionV>
                  <wp:extent cx="812800" cy="400050"/>
                  <wp:effectExtent l="0" t="0" r="0" b="635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2"/>
                <w:szCs w:val="22"/>
                <w:lang w:val="en-US"/>
              </w:rPr>
            </w:pP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2022年08月2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日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19：00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923"/>
        <w:gridCol w:w="491"/>
        <w:gridCol w:w="791"/>
        <w:gridCol w:w="2003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重庆市建维工程检测有限公司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93980</wp:posOffset>
                  </wp:positionV>
                  <wp:extent cx="584835" cy="325755"/>
                  <wp:effectExtent l="0" t="0" r="12065" b="4445"/>
                  <wp:wrapNone/>
                  <wp:docPr id="8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见证取样检测、市政道路工程检测、市政桥梁工程检测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69850</wp:posOffset>
                  </wp:positionV>
                  <wp:extent cx="573405" cy="288925"/>
                  <wp:effectExtent l="0" t="0" r="10795" b="3175"/>
                  <wp:wrapNone/>
                  <wp:docPr id="9" name="图片 9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0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检测流程：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合同签订—检测方案（需要时）—抽样（见证取样）—实施检测—出具报告—交付。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重要环境因素：1）固废排放；2）潜在火灾</w:t>
            </w:r>
            <w:bookmarkStart w:id="2" w:name="_GoBack"/>
            <w:bookmarkEnd w:id="2"/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，通过管理方案、分类处理进行控制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《中华人民共和国环境保护法》、《中华人民共和国环境影响评价法》、《中华人民共和国节约能源法》、《中华人民共和国固体废物污染环境防治法》、《中华人民共和国环境噪声污染防治法》、《中华人民共和国清洁生产促进法》、《中华人民共和国节约能源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default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160655</wp:posOffset>
                  </wp:positionV>
                  <wp:extent cx="812800" cy="400050"/>
                  <wp:effectExtent l="0" t="0" r="0" b="6350"/>
                  <wp:wrapNone/>
                  <wp:docPr id="16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2022年08月2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日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19：00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156210</wp:posOffset>
                  </wp:positionV>
                  <wp:extent cx="812800" cy="400050"/>
                  <wp:effectExtent l="0" t="0" r="0" b="6350"/>
                  <wp:wrapNone/>
                  <wp:docPr id="17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2022年08月2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日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19：00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762"/>
        <w:gridCol w:w="652"/>
        <w:gridCol w:w="309"/>
        <w:gridCol w:w="248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重庆市建维工程检测有限公司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93980</wp:posOffset>
                  </wp:positionV>
                  <wp:extent cx="584835" cy="325755"/>
                  <wp:effectExtent l="0" t="0" r="12065" b="4445"/>
                  <wp:wrapNone/>
                  <wp:docPr id="1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8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见证取样检测、市政道路工程检测、市政桥梁工程检测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69850</wp:posOffset>
                  </wp:positionV>
                  <wp:extent cx="573405" cy="288925"/>
                  <wp:effectExtent l="0" t="0" r="10795" b="3175"/>
                  <wp:wrapNone/>
                  <wp:docPr id="13" name="图片 1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检测流程：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合同签订—检测方案（需要时）—抽样（见证取样）—实施检测—出具报告—交付。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eastAsia="宋体"/>
                <w:b w:val="0"/>
                <w:bCs/>
                <w:sz w:val="20"/>
                <w:szCs w:val="22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US" w:eastAsia="zh-CN"/>
              </w:rPr>
              <w:t>不可接受风险：1）火灾；2）机械伤害； 3）触电；4）高处坠落，通过培训学习、运行控制、应急预案进行控制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sz w:val="20"/>
                <w:szCs w:val="22"/>
                <w:lang w:val="en-GB" w:eastAsia="zh-CN"/>
              </w:rPr>
              <w:t>中华人民共和国消防法、中华人民共和国安全生产法、中华人民共和国劳动法、中华人民共和国职业病防治法、中华人民共和国突发事件应对法、安全生产培训管理办法、重庆市安全生产条例、重庆市消防条例等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160655</wp:posOffset>
                  </wp:positionV>
                  <wp:extent cx="812800" cy="400050"/>
                  <wp:effectExtent l="0" t="0" r="0" b="6350"/>
                  <wp:wrapNone/>
                  <wp:docPr id="20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2022年08月2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日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19：00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156210</wp:posOffset>
                  </wp:positionV>
                  <wp:extent cx="812800" cy="400050"/>
                  <wp:effectExtent l="0" t="0" r="0" b="635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2022年08月2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日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19：00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CDE0DB3"/>
    <w:rsid w:val="1E542E72"/>
    <w:rsid w:val="28393C68"/>
    <w:rsid w:val="30136874"/>
    <w:rsid w:val="7FF20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1184</Words>
  <Characters>1299</Characters>
  <Lines>2</Lines>
  <Paragraphs>1</Paragraphs>
  <TotalTime>2</TotalTime>
  <ScaleCrop>false</ScaleCrop>
  <LinksUpToDate>false</LinksUpToDate>
  <CharactersWithSpaces>1307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2022-08-24T06:25:55Z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