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381750" cy="8983980"/>
            <wp:effectExtent l="0" t="0" r="6350" b="7620"/>
            <wp:docPr id="1" name="图片 1" descr="326df7febce2d5fe2815bf563223b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26df7febce2d5fe2815bf563223b2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898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390640" cy="9003030"/>
            <wp:effectExtent l="0" t="0" r="10160" b="1270"/>
            <wp:docPr id="2" name="图片 2" descr="b9cc654759299b37ef7b54858411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9cc654759299b37ef7b5485841134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900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388100" cy="8956040"/>
            <wp:effectExtent l="0" t="0" r="0" b="10160"/>
            <wp:docPr id="3" name="图片 3" descr="594f75c426e7f6ecd6cba60e81c7f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94f75c426e7f6ecd6cba60e81c7f0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895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381115" cy="8992870"/>
            <wp:effectExtent l="0" t="0" r="6985" b="11430"/>
            <wp:docPr id="4" name="图片 4" descr="fc86c2997ba9385ab583086c72a09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c86c2997ba9385ab583086c72a09a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1115" cy="899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0" w:name="_GoBack"/>
      <w:bookmarkEnd w:id="20"/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河北舒春热力科技有限公司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刘军莲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办公室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2022.8.28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现场审核发现 </w:t>
            </w:r>
            <w:r>
              <w:rPr>
                <w:rFonts w:hint="eastAsia" w:ascii="方正仿宋简体" w:eastAsia="方正仿宋简体"/>
                <w:b/>
              </w:rPr>
              <w:t>提供的法律法规和其他要求清单中：中华人民共和国固体废物污染环境防治法2016-11-07、中华人民共和国消防法2009-5-1已过期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.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4NjI5OTBmMDM1ODFlMDkzNDFlZTFiMWNhZWU5ZTMifQ=="/>
  </w:docVars>
  <w:rsids>
    <w:rsidRoot w:val="00000000"/>
    <w:rsid w:val="3C99210A"/>
    <w:rsid w:val="71856C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108</TotalTime>
  <ScaleCrop>false</ScaleCrop>
  <LinksUpToDate>false</LinksUpToDate>
  <CharactersWithSpaces>895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企业咨询17334292415</cp:lastModifiedBy>
  <cp:lastPrinted>2019-05-13T03:02:00Z</cp:lastPrinted>
  <dcterms:modified xsi:type="dcterms:W3CDTF">2022-08-27T02:23:13Z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2052-11.1.0.12353</vt:lpwstr>
  </property>
</Properties>
</file>