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1006-2022-E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河北舒春热力科技有限公司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河北舒春热力科技有限公司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河北省邯郸市丛台区黄粱梦镇贵龙岗村西中煤物流园区南院3号</w:t>
            </w:r>
            <w:bookmarkEnd w:id="6"/>
          </w:p>
        </w:tc>
        <w:tc>
          <w:tcPr>
            <w:tcW w:w="1242" w:type="dxa"/>
            <w:vMerge w:val="restart"/>
            <w:vAlign w:val="center"/>
          </w:tcPr>
          <w:p>
            <w:r>
              <w:rPr>
                <w:rFonts w:hint="eastAsia"/>
              </w:rPr>
              <w:t>邮编</w:t>
            </w:r>
          </w:p>
        </w:tc>
        <w:tc>
          <w:tcPr>
            <w:tcW w:w="1771" w:type="dxa"/>
          </w:tcPr>
          <w:p>
            <w:bookmarkStart w:id="7" w:name="注册邮编"/>
            <w:r>
              <w:t>056000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河北省邯郸市丛台区联防路德源商务中心2309室</w:t>
            </w:r>
            <w:bookmarkEnd w:id="8"/>
          </w:p>
        </w:tc>
        <w:tc>
          <w:tcPr>
            <w:tcW w:w="1242" w:type="dxa"/>
            <w:vMerge w:val="continue"/>
            <w:vAlign w:val="center"/>
          </w:tcPr>
          <w:p/>
        </w:tc>
        <w:tc>
          <w:tcPr>
            <w:tcW w:w="1771" w:type="dxa"/>
          </w:tcPr>
          <w:p>
            <w:bookmarkStart w:id="9" w:name="办公邮编"/>
            <w:r>
              <w:t>056000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刘军莲</w:t>
            </w:r>
            <w:bookmarkEnd w:id="10"/>
          </w:p>
        </w:tc>
        <w:tc>
          <w:tcPr>
            <w:tcW w:w="1313" w:type="dxa"/>
            <w:vAlign w:val="center"/>
          </w:tcPr>
          <w:p>
            <w:r>
              <w:rPr>
                <w:rFonts w:hint="eastAsia"/>
              </w:rPr>
              <w:t>电话.</w:t>
            </w:r>
          </w:p>
        </w:tc>
        <w:tc>
          <w:tcPr>
            <w:tcW w:w="2180" w:type="dxa"/>
            <w:vAlign w:val="center"/>
          </w:tcPr>
          <w:p>
            <w:bookmarkStart w:id="11" w:name="联系人电话"/>
            <w:r>
              <w:t>0310-7058698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马建岗</w:t>
            </w:r>
            <w:bookmarkEnd w:id="13"/>
          </w:p>
        </w:tc>
        <w:tc>
          <w:tcPr>
            <w:tcW w:w="1313" w:type="dxa"/>
            <w:vAlign w:val="center"/>
          </w:tcPr>
          <w:p>
            <w:r>
              <w:rPr>
                <w:rFonts w:hint="eastAsia"/>
              </w:rPr>
              <w:t>管理者代表</w:t>
            </w:r>
          </w:p>
        </w:tc>
        <w:tc>
          <w:tcPr>
            <w:tcW w:w="2180" w:type="dxa"/>
          </w:tcPr>
          <w:p>
            <w:bookmarkStart w:id="14" w:name="管理者代表"/>
            <w:r>
              <w:t>刘军莲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727" w:type="dxa"/>
            <w:gridSpan w:val="6"/>
            <w:vAlign w:val="top"/>
          </w:tcPr>
          <w:p>
            <w:pPr>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lang w:val="en-US" w:eastAsia="zh-CN"/>
              </w:rPr>
            </w:pPr>
            <w:r>
              <w:rPr>
                <w:rFonts w:hint="eastAsia"/>
                <w:lang w:val="en-US" w:eastAsia="zh-CN"/>
              </w:rPr>
              <w:t xml:space="preserve">   采购计划----签订采购合同---合同评审----签约---催货--供方发货（包装、运输）---客户验收---售后服务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2022年08月26日 上午至2022年08月27日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碳晶电暖器、直热对流式电暖器、石墨烯电暖器、碳纤维电暖器、低环境温度空气源变频热泵热风机的销售所涉及场所的相关环境管理活动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27-28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76"/>
        <w:gridCol w:w="1830"/>
        <w:gridCol w:w="540"/>
        <w:gridCol w:w="2490"/>
        <w:gridCol w:w="16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76" w:type="dxa"/>
            <w:shd w:val="clear" w:color="auto" w:fill="F3F3F3"/>
            <w:tcMar>
              <w:left w:w="57" w:type="dxa"/>
              <w:right w:w="57" w:type="dxa"/>
            </w:tcMar>
          </w:tcPr>
          <w:p>
            <w:r>
              <w:rPr>
                <w:rFonts w:hint="eastAsia"/>
              </w:rPr>
              <w:t>组织名称及注册场所地址</w:t>
            </w:r>
          </w:p>
        </w:tc>
        <w:tc>
          <w:tcPr>
            <w:tcW w:w="1830" w:type="dxa"/>
            <w:shd w:val="clear" w:color="auto" w:fill="F3F3F3"/>
            <w:tcMar>
              <w:left w:w="57" w:type="dxa"/>
              <w:right w:w="57" w:type="dxa"/>
            </w:tcMar>
          </w:tcPr>
          <w:p>
            <w:r>
              <w:rPr>
                <w:rFonts w:hint="eastAsia"/>
              </w:rPr>
              <w:t>经营场所的地址</w:t>
            </w:r>
          </w:p>
          <w:p>
            <w:r>
              <w:rPr>
                <w:rFonts w:hint="eastAsia"/>
              </w:rPr>
              <w:t>（多现场和临时现场）</w:t>
            </w:r>
          </w:p>
        </w:tc>
        <w:tc>
          <w:tcPr>
            <w:tcW w:w="540" w:type="dxa"/>
            <w:shd w:val="clear" w:color="auto" w:fill="F3F3F3"/>
            <w:tcMar>
              <w:left w:w="57" w:type="dxa"/>
              <w:right w:w="57" w:type="dxa"/>
            </w:tcMar>
          </w:tcPr>
          <w:p>
            <w:r>
              <w:rPr>
                <w:rFonts w:hint="eastAsia"/>
              </w:rPr>
              <w:t>员工人数</w:t>
            </w:r>
          </w:p>
        </w:tc>
        <w:tc>
          <w:tcPr>
            <w:tcW w:w="2490" w:type="dxa"/>
            <w:shd w:val="clear" w:color="auto" w:fill="F3F3F3"/>
            <w:tcMar>
              <w:left w:w="57" w:type="dxa"/>
              <w:right w:w="57" w:type="dxa"/>
            </w:tcMar>
          </w:tcPr>
          <w:p>
            <w:r>
              <w:rPr>
                <w:rFonts w:hint="eastAsia"/>
              </w:rPr>
              <w:t>审核范围（产品和过程）</w:t>
            </w:r>
          </w:p>
          <w:p/>
          <w:p/>
        </w:tc>
        <w:tc>
          <w:tcPr>
            <w:tcW w:w="16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076" w:type="dxa"/>
          </w:tcPr>
          <w:p>
            <w:pPr>
              <w:rPr>
                <w:lang w:val="de-DE" w:eastAsia="ja-JP"/>
              </w:rPr>
            </w:pPr>
            <w:r>
              <w:rPr>
                <w:rFonts w:hint="eastAsia"/>
                <w:lang w:val="de-DE" w:eastAsia="ja-JP"/>
              </w:rPr>
              <w:t>河北舒春热力科技有限公司</w:t>
            </w:r>
          </w:p>
        </w:tc>
        <w:tc>
          <w:tcPr>
            <w:tcW w:w="1830" w:type="dxa"/>
          </w:tcPr>
          <w:p>
            <w:pPr>
              <w:rPr>
                <w:lang w:val="de-DE" w:eastAsia="ja-JP"/>
              </w:rPr>
            </w:pPr>
            <w:r>
              <w:rPr>
                <w:rFonts w:hint="eastAsia"/>
                <w:lang w:val="de-DE" w:eastAsia="ja-JP"/>
              </w:rPr>
              <w:t>河北省邯郸市丛台区联防路德源商务中心2309室</w:t>
            </w:r>
          </w:p>
        </w:tc>
        <w:tc>
          <w:tcPr>
            <w:tcW w:w="540" w:type="dxa"/>
            <w:vAlign w:val="center"/>
          </w:tcPr>
          <w:p>
            <w:pPr>
              <w:rPr>
                <w:rFonts w:hint="default" w:eastAsia="宋体"/>
                <w:lang w:val="en-US" w:eastAsia="zh-CN"/>
              </w:rPr>
            </w:pPr>
            <w:r>
              <w:rPr>
                <w:rFonts w:hint="eastAsia"/>
                <w:lang w:val="en-US" w:eastAsia="zh-CN"/>
              </w:rPr>
              <w:t>10</w:t>
            </w:r>
          </w:p>
        </w:tc>
        <w:tc>
          <w:tcPr>
            <w:tcW w:w="2490" w:type="dxa"/>
            <w:vAlign w:val="center"/>
          </w:tcPr>
          <w:p>
            <w:pPr>
              <w:rPr>
                <w:lang w:eastAsia="ja-JP"/>
              </w:rPr>
            </w:pPr>
            <w:r>
              <w:rPr>
                <w:rFonts w:hint="eastAsia"/>
                <w:lang w:eastAsia="ja-JP"/>
              </w:rPr>
              <w:t xml:space="preserve">碳晶电暖器、直热对流式电暖器、石墨烯电暖器、碳纤维电暖器、低环境温度空气源变频热泵热风机的销售所涉及场所的相关环境管理活动  </w:t>
            </w:r>
          </w:p>
        </w:tc>
        <w:tc>
          <w:tcPr>
            <w:tcW w:w="1641" w:type="dxa"/>
            <w:vAlign w:val="center"/>
          </w:tcPr>
          <w:p>
            <w:pPr>
              <w:rPr>
                <w:lang w:eastAsia="ja-JP"/>
              </w:rPr>
            </w:pPr>
            <w:r>
              <w:rPr>
                <w:rFonts w:hint="eastAsia"/>
                <w:lang w:eastAsia="ja-JP"/>
              </w:rPr>
              <w:t>GB/T24001-2016/ISO14001:2015</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076" w:type="dxa"/>
            <w:vAlign w:val="center"/>
          </w:tcPr>
          <w:p>
            <w:pPr>
              <w:rPr>
                <w:lang w:eastAsia="ja-JP"/>
              </w:rPr>
            </w:pPr>
            <w:r>
              <w:rPr>
                <w:rFonts w:hint="eastAsia"/>
                <w:lang w:eastAsia="ja-JP"/>
              </w:rPr>
              <w:t>河北省邯郸市丛台区黄粱梦镇贵龙岗村西中煤物流园区南院3号</w:t>
            </w:r>
          </w:p>
        </w:tc>
        <w:tc>
          <w:tcPr>
            <w:tcW w:w="1830" w:type="dxa"/>
            <w:vAlign w:val="center"/>
          </w:tcPr>
          <w:p>
            <w:pPr>
              <w:rPr>
                <w:lang w:eastAsia="ja-JP"/>
              </w:rPr>
            </w:pPr>
          </w:p>
        </w:tc>
        <w:tc>
          <w:tcPr>
            <w:tcW w:w="540" w:type="dxa"/>
            <w:vAlign w:val="center"/>
          </w:tcPr>
          <w:p>
            <w:pPr>
              <w:rPr>
                <w:lang w:eastAsia="ja-JP"/>
              </w:rPr>
            </w:pPr>
          </w:p>
        </w:tc>
        <w:tc>
          <w:tcPr>
            <w:tcW w:w="2490" w:type="dxa"/>
            <w:vAlign w:val="center"/>
          </w:tcPr>
          <w:p>
            <w:pPr>
              <w:rPr>
                <w:lang w:eastAsia="ja-JP"/>
              </w:rPr>
            </w:pPr>
          </w:p>
        </w:tc>
        <w:tc>
          <w:tcPr>
            <w:tcW w:w="16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76" w:type="dxa"/>
            <w:vAlign w:val="center"/>
          </w:tcPr>
          <w:p>
            <w:pPr>
              <w:rPr>
                <w:lang w:eastAsia="ja-JP"/>
              </w:rPr>
            </w:pPr>
          </w:p>
        </w:tc>
        <w:tc>
          <w:tcPr>
            <w:tcW w:w="1830" w:type="dxa"/>
            <w:vAlign w:val="center"/>
          </w:tcPr>
          <w:p>
            <w:pPr>
              <w:rPr>
                <w:lang w:eastAsia="ja-JP"/>
              </w:rPr>
            </w:pPr>
          </w:p>
        </w:tc>
        <w:tc>
          <w:tcPr>
            <w:tcW w:w="540" w:type="dxa"/>
            <w:vAlign w:val="center"/>
          </w:tcPr>
          <w:p>
            <w:pPr>
              <w:rPr>
                <w:lang w:eastAsia="ja-JP"/>
              </w:rPr>
            </w:pPr>
          </w:p>
        </w:tc>
        <w:tc>
          <w:tcPr>
            <w:tcW w:w="2490" w:type="dxa"/>
            <w:vAlign w:val="center"/>
          </w:tcPr>
          <w:p>
            <w:pPr>
              <w:rPr>
                <w:lang w:eastAsia="ja-JP"/>
              </w:rPr>
            </w:pPr>
          </w:p>
        </w:tc>
        <w:tc>
          <w:tcPr>
            <w:tcW w:w="16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076" w:type="dxa"/>
            <w:vAlign w:val="center"/>
          </w:tcPr>
          <w:p>
            <w:pPr>
              <w:rPr>
                <w:lang w:eastAsia="ja-JP"/>
              </w:rPr>
            </w:pPr>
          </w:p>
        </w:tc>
        <w:tc>
          <w:tcPr>
            <w:tcW w:w="1830" w:type="dxa"/>
            <w:vAlign w:val="center"/>
          </w:tcPr>
          <w:p>
            <w:pPr>
              <w:rPr>
                <w:lang w:eastAsia="ja-JP"/>
              </w:rPr>
            </w:pPr>
          </w:p>
        </w:tc>
        <w:tc>
          <w:tcPr>
            <w:tcW w:w="540" w:type="dxa"/>
            <w:vAlign w:val="center"/>
          </w:tcPr>
          <w:p>
            <w:pPr>
              <w:rPr>
                <w:lang w:eastAsia="ja-JP"/>
              </w:rPr>
            </w:pPr>
          </w:p>
        </w:tc>
        <w:tc>
          <w:tcPr>
            <w:tcW w:w="2490" w:type="dxa"/>
            <w:vAlign w:val="center"/>
          </w:tcPr>
          <w:p>
            <w:pPr>
              <w:rPr>
                <w:lang w:eastAsia="ja-JP"/>
              </w:rPr>
            </w:pPr>
          </w:p>
        </w:tc>
        <w:tc>
          <w:tcPr>
            <w:tcW w:w="16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076" w:type="dxa"/>
            <w:vAlign w:val="center"/>
          </w:tcPr>
          <w:p>
            <w:pPr>
              <w:rPr>
                <w:lang w:eastAsia="ja-JP"/>
              </w:rPr>
            </w:pPr>
          </w:p>
        </w:tc>
        <w:tc>
          <w:tcPr>
            <w:tcW w:w="1830" w:type="dxa"/>
            <w:vAlign w:val="center"/>
          </w:tcPr>
          <w:p>
            <w:pPr>
              <w:rPr>
                <w:lang w:eastAsia="ja-JP"/>
              </w:rPr>
            </w:pPr>
          </w:p>
        </w:tc>
        <w:tc>
          <w:tcPr>
            <w:tcW w:w="540" w:type="dxa"/>
            <w:vAlign w:val="center"/>
          </w:tcPr>
          <w:p>
            <w:pPr>
              <w:rPr>
                <w:lang w:eastAsia="ja-JP"/>
              </w:rPr>
            </w:pPr>
          </w:p>
        </w:tc>
        <w:tc>
          <w:tcPr>
            <w:tcW w:w="2490" w:type="dxa"/>
            <w:vAlign w:val="center"/>
          </w:tcPr>
          <w:p>
            <w:pPr>
              <w:rPr>
                <w:lang w:eastAsia="ja-JP"/>
              </w:rPr>
            </w:pPr>
          </w:p>
        </w:tc>
        <w:tc>
          <w:tcPr>
            <w:tcW w:w="164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2020-N1EMS-1263722</w:t>
            </w:r>
          </w:p>
        </w:tc>
        <w:tc>
          <w:tcPr>
            <w:tcW w:w="2179" w:type="dxa"/>
            <w:vAlign w:val="center"/>
          </w:tcPr>
          <w:p>
            <w:r>
              <w:t>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上次无不符合。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GB"/>
              </w:rPr>
              <w:t>依据规定使用标志和证书。</w:t>
            </w:r>
            <w:r>
              <w:rPr>
                <w:rFonts w:hint="eastAsia"/>
                <w:lang w:val="en-US" w:eastAsia="zh-CN"/>
              </w:rPr>
              <w:t xml:space="preserve">证书使用合规主用用于投标使用。 </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4"/>
        <w:gridCol w:w="2764"/>
        <w:gridCol w:w="2764"/>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24"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824865" cy="141605"/>
                  <wp:effectExtent l="0" t="0" r="635" b="10795"/>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6"/>
                          <a:stretch>
                            <a:fillRect/>
                          </a:stretch>
                        </pic:blipFill>
                        <pic:spPr>
                          <a:xfrm>
                            <a:off x="0" y="0"/>
                            <a:ext cx="824865" cy="141605"/>
                          </a:xfrm>
                          <a:prstGeom prst="rect">
                            <a:avLst/>
                          </a:prstGeom>
                        </pic:spPr>
                      </pic:pic>
                    </a:graphicData>
                  </a:graphic>
                </wp:inline>
              </w:drawing>
            </w:r>
          </w:p>
          <w:p/>
        </w:tc>
        <w:tc>
          <w:tcPr>
            <w:tcW w:w="2764" w:type="dxa"/>
            <w:tcMar>
              <w:left w:w="113" w:type="dxa"/>
            </w:tcMar>
          </w:tcPr>
          <w:p>
            <w:r>
              <w:rPr>
                <w:rFonts w:hint="eastAsia"/>
              </w:rPr>
              <w:t>日期</w:t>
            </w:r>
          </w:p>
        </w:tc>
        <w:tc>
          <w:tcPr>
            <w:tcW w:w="2857"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 xml:space="preserve">  2022.8.28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审核周期</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体系要素</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组织环境</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firstLine="1260" w:firstLineChars="600"/>
                    <w:rPr>
                      <w:rFonts w:hint="default"/>
                    </w:rPr>
                  </w:pPr>
                </w:p>
              </w:tc>
              <w:tc>
                <w:tcPr>
                  <w:tcW w:w="7375" w:type="dxa"/>
                </w:tcPr>
                <w:p>
                  <w:pPr>
                    <w:keepNext w:val="0"/>
                    <w:keepLines w:val="0"/>
                    <w:suppressLineNumbers w:val="0"/>
                    <w:shd w:val="clear" w:color="auto" w:fill="EBF1DE" w:themeFill="accent3" w:themeFillTint="32"/>
                    <w:spacing w:before="0" w:beforeAutospacing="0" w:after="0" w:afterAutospacing="0"/>
                    <w:ind w:left="0" w:right="0" w:firstLine="420" w:firstLineChars="200"/>
                    <w:rPr>
                      <w:rFonts w:hint="default"/>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外部环境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内部环境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A3"/>
                  </w:r>
                  <w:r>
                    <w:rPr>
                      <w:rFonts w:hint="eastAsia"/>
                    </w:rPr>
                    <w:t xml:space="preserve">工艺 □设备 </w:t>
                  </w:r>
                  <w:r>
                    <w:rPr>
                      <w:rFonts w:hint="eastAsia"/>
                    </w:rPr>
                    <w:sym w:font="Wingdings 2" w:char="0052"/>
                  </w:r>
                  <w:r>
                    <w:rPr>
                      <w:rFonts w:hint="eastAsia"/>
                    </w:rPr>
                    <w:t xml:space="preserve">人员能力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default"/>
                    </w:rPr>
                    <w:t>活动、产品和服务</w:t>
                  </w:r>
                  <w:r>
                    <w:rPr>
                      <w:rFonts w:hint="eastAsia"/>
                    </w:rPr>
                    <w:t xml:space="preserve"> </w:t>
                  </w:r>
                  <w:r>
                    <w:rPr>
                      <w:rFonts w:hint="eastAsia"/>
                    </w:rPr>
                    <w:sym w:font="Wingdings 2" w:char="0052"/>
                  </w:r>
                  <w:r>
                    <w:rPr>
                      <w:rFonts w:hint="default"/>
                    </w:rPr>
                    <w:t>战略方向</w:t>
                  </w:r>
                  <w:r>
                    <w:rPr>
                      <w:rFonts w:hint="eastAsia"/>
                    </w:rPr>
                    <w:t xml:space="preserve"> □其他</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主管部门</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供方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顾客</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社区</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员工</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□投资方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□其他</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组织运用生命周期观点明确相关环境管理体系的范围；（详见第一条款审核范围）</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已将环境管理体系要求融入到其各项业务过程中，包括：</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□仓库管理 </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A3"/>
            </w:r>
            <w:r>
              <w:rPr>
                <w:rFonts w:hint="eastAsia"/>
              </w:rPr>
              <w:t>环评三同时 □其他</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□人员培训 □其他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领导作用</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安全第一、保障健康   减少污染、节能降耗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最高管理者确定了组织架构及相关岗位的职责、权限，并进行了全员的沟通和理解；</w:t>
            </w:r>
          </w:p>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rPr>
              <w:t>EMS的主管部门是——</w:t>
            </w:r>
            <w:r>
              <w:rPr>
                <w:rFonts w:hint="eastAsia"/>
                <w:lang w:val="en-US" w:eastAsia="zh-CN"/>
              </w:rPr>
              <w:t>办公室</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策划</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主要的风险或机遇描述</w:t>
                  </w: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应对措施</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default"/>
                    </w:rPr>
                  </w:pPr>
                  <w:r>
                    <w:rPr>
                      <w:rFonts w:hint="eastAsia"/>
                    </w:rPr>
                    <w:t>环境新的法律法规颁布</w:t>
                  </w:r>
                </w:p>
              </w:tc>
              <w:tc>
                <w:tcPr>
                  <w:tcW w:w="3965" w:type="dxa"/>
                  <w:vAlign w:val="center"/>
                </w:tcPr>
                <w:p>
                  <w:pPr>
                    <w:keepNext w:val="0"/>
                    <w:keepLines w:val="0"/>
                    <w:widowControl/>
                    <w:suppressLineNumbers w:val="0"/>
                    <w:jc w:val="left"/>
                    <w:textAlignment w:val="center"/>
                    <w:rPr>
                      <w:rFonts w:hint="eastAsia"/>
                    </w:rPr>
                  </w:pPr>
                  <w:r>
                    <w:rPr>
                      <w:rFonts w:hint="eastAsia"/>
                    </w:rPr>
                    <w:t>搜集更新新版的环境法律法规。</w:t>
                  </w:r>
                </w:p>
                <w:p>
                  <w:pPr>
                    <w:pStyle w:val="2"/>
                    <w:rPr>
                      <w:rFonts w:hint="eastAsia"/>
                      <w:lang w:val="en-US" w:eastAsia="zh-CN"/>
                    </w:rPr>
                  </w:pPr>
                </w:p>
              </w:tc>
              <w:tc>
                <w:tcPr>
                  <w:tcW w:w="1717" w:type="dxa"/>
                  <w:vAlign w:val="top"/>
                </w:tcPr>
                <w:p>
                  <w:pPr>
                    <w:keepNext w:val="0"/>
                    <w:keepLines w:val="0"/>
                    <w:suppressLineNumbers w:val="0"/>
                    <w:shd w:val="clear" w:color="auto" w:fill="EBF1DE" w:themeFill="accent3" w:themeFillTint="32"/>
                    <w:spacing w:before="0" w:beforeAutospacing="0" w:after="0" w:afterAutospacing="0"/>
                    <w:ind w:left="0" w:right="0"/>
                    <w:rPr>
                      <w:rFonts w:hint="default"/>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imes New Roman" w:hAnsi="Times New Roman" w:eastAsia="宋体" w:cs="Times New Roman"/>
                      <w:lang w:val="en-US" w:eastAsia="zh-CN"/>
                    </w:rPr>
                    <w:t>相关方影响管理</w:t>
                  </w:r>
                </w:p>
              </w:tc>
              <w:tc>
                <w:tcPr>
                  <w:tcW w:w="396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rPr>
                    <w:t>与供应商或相关方有关的法律法规和其他要求，施加影响要求符合。</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、异常状况和可合理预见的紧急情况。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制订了文件化的评价重要环境因素的准则，重要环境因素已识别，且对它们的重要性和对环境的影响被定期评审和更新。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重</w:t>
            </w:r>
            <w:r>
              <w:rPr>
                <w:rFonts w:hint="eastAsia" w:ascii="Times New Roman" w:hAnsi="Times New Roman" w:eastAsia="宋体" w:cs="Times New Roman"/>
              </w:rPr>
              <w:t>要环境因素包括</w:t>
            </w:r>
            <w:r>
              <w:rPr>
                <w:rFonts w:hint="eastAsia"/>
              </w:rPr>
              <w:t>(必要时，按每个场所来描述):（不必全选）</w:t>
            </w:r>
          </w:p>
          <w:p>
            <w:pPr>
              <w:keepNext w:val="0"/>
              <w:keepLines w:val="0"/>
              <w:suppressLineNumbers w:val="0"/>
              <w:shd w:val="clear" w:color="auto" w:fill="EBF1DE" w:themeFill="accent3" w:themeFillTint="32"/>
              <w:spacing w:before="40" w:beforeAutospacing="0" w:after="40" w:afterAutospacing="0"/>
              <w:ind w:left="0" w:right="0"/>
              <w:rPr>
                <w:rFonts w:hint="default"/>
                <w:highlight w:val="cyan"/>
              </w:rPr>
            </w:pPr>
            <w:r>
              <w:rPr>
                <w:rFonts w:hint="eastAsia"/>
              </w:rPr>
              <w:sym w:font="Wingdings 2" w:char="00A3"/>
            </w:r>
            <w:r>
              <w:rPr>
                <w:rFonts w:hint="eastAsia"/>
              </w:rPr>
              <w:t xml:space="preserve">能源消耗  </w:t>
            </w:r>
            <w:r>
              <w:rPr>
                <w:rFonts w:hint="eastAsia"/>
              </w:rPr>
              <w:sym w:font="Wingdings 2" w:char="00A3"/>
            </w:r>
            <w:r>
              <w:rPr>
                <w:rFonts w:hint="eastAsia"/>
              </w:rPr>
              <w:t xml:space="preserve">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w:t>
            </w:r>
            <w:r>
              <w:rPr>
                <w:rFonts w:hint="eastAsia"/>
              </w:rPr>
              <w:sym w:font="Wingdings 2" w:char="00A3"/>
            </w:r>
            <w:r>
              <w:rPr>
                <w:rFonts w:hint="eastAsia"/>
              </w:rPr>
              <w:t xml:space="preserve">粉尘排放  </w:t>
            </w:r>
            <w:r>
              <w:rPr>
                <w:rFonts w:hint="eastAsia"/>
              </w:rPr>
              <w:sym w:font="Wingdings 2" w:char="0052"/>
            </w:r>
            <w:r>
              <w:rPr>
                <w:rFonts w:hint="eastAsia"/>
                <w:lang w:val="en-US" w:eastAsia="zh-CN"/>
              </w:rPr>
              <w:t>固体废弃物</w:t>
            </w:r>
            <w:r>
              <w:rPr>
                <w:rFonts w:hint="eastAsia"/>
              </w:rPr>
              <w:t xml:space="preserve">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组织定期确定并获取</w:t>
            </w:r>
            <w:r>
              <w:rPr>
                <w:rFonts w:hint="eastAsia"/>
              </w:rPr>
              <w:t>了</w:t>
            </w:r>
            <w:r>
              <w:rPr>
                <w:rFonts w:hint="default"/>
              </w:rPr>
              <w:t>与其环境因素有关的</w:t>
            </w:r>
            <w:r>
              <w:rPr>
                <w:rFonts w:hint="eastAsia"/>
              </w:rPr>
              <w:t>文件化的</w:t>
            </w:r>
            <w:r>
              <w:rPr>
                <w:rFonts w:hint="default"/>
              </w:rPr>
              <w:t>合规义务； 将这些合规义务应用于组织； 在建立、实施、保持和持续改进其环境管理体系时必须考虑这些合规义务。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w:t>
            </w:r>
            <w:r>
              <w:rPr>
                <w:rFonts w:hint="eastAsia"/>
              </w:rPr>
              <w:t>提供了</w:t>
            </w:r>
            <w:r>
              <w:rPr>
                <w:rFonts w:hint="default"/>
              </w:rPr>
              <w:t>下列许可和授权(必要时，按每个场所来描述):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□安全生产许可证编号：</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排污许可证编号：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□环境影响登记表日期：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环境影响报告表日期：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w:t>
            </w:r>
            <w:r>
              <w:rPr>
                <w:rFonts w:hint="eastAsia"/>
                <w:lang w:val="en-US" w:eastAsia="zh-CN"/>
              </w:rPr>
              <w:t>保护验收报告</w:t>
            </w:r>
            <w:r>
              <w:rPr>
                <w:rFonts w:hint="eastAsia"/>
              </w:rPr>
              <w:t>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□消防验收/备案证明日期：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组织策划并采取措施管理其重要环境因素、合规义务和识别的风险和机遇；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A3"/>
            </w:r>
            <w:r>
              <w:rPr>
                <w:rFonts w:hint="eastAsia"/>
              </w:rPr>
              <w:t xml:space="preserve">使用节能设备  </w:t>
            </w:r>
            <w:r>
              <w:rPr>
                <w:rFonts w:hint="eastAsia"/>
              </w:rPr>
              <w:sym w:font="Wingdings 2" w:char="00A3"/>
            </w:r>
            <w:r>
              <w:rPr>
                <w:rFonts w:hint="eastAsia"/>
              </w:rPr>
              <w:t xml:space="preserve">危化品控制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环境目标</w:t>
                  </w:r>
                </w:p>
              </w:tc>
              <w:tc>
                <w:tcPr>
                  <w:tcW w:w="3136"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控制措施</w:t>
                  </w:r>
                </w:p>
              </w:tc>
              <w:tc>
                <w:tcPr>
                  <w:tcW w:w="1350"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责任部门</w:t>
                  </w:r>
                </w:p>
              </w:tc>
              <w:tc>
                <w:tcPr>
                  <w:tcW w:w="1774"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numPr>
                      <w:ilvl w:val="0"/>
                      <w:numId w:val="0"/>
                    </w:numPr>
                    <w:suppressLineNumbers w:val="0"/>
                    <w:ind w:left="0" w:leftChars="0" w:firstLine="0" w:firstLineChars="0"/>
                    <w:jc w:val="left"/>
                    <w:textAlignment w:val="center"/>
                    <w:rPr>
                      <w:rFonts w:hint="default"/>
                    </w:rPr>
                  </w:pPr>
                  <w:r>
                    <w:rPr>
                      <w:rFonts w:hint="eastAsia" w:ascii="华文楷体" w:hAnsi="华文楷体" w:eastAsia="华文楷体" w:cs="华文楷体"/>
                      <w:sz w:val="24"/>
                      <w:szCs w:val="24"/>
                    </w:rPr>
                    <w:t>固体废弃物100％分类处置；</w:t>
                  </w:r>
                </w:p>
              </w:tc>
              <w:tc>
                <w:tcPr>
                  <w:tcW w:w="3136" w:type="dxa"/>
                  <w:shd w:val="clear" w:color="auto" w:fill="auto"/>
                  <w:vAlign w:val="center"/>
                </w:tcPr>
                <w:p>
                  <w:pPr>
                    <w:keepNext w:val="0"/>
                    <w:keepLines w:val="0"/>
                    <w:widowControl/>
                    <w:suppressLineNumbers w:val="0"/>
                    <w:jc w:val="left"/>
                    <w:textAlignment w:val="center"/>
                    <w:rPr>
                      <w:rFonts w:hint="default"/>
                      <w:lang w:val="en-GB"/>
                    </w:rPr>
                  </w:pPr>
                  <w:r>
                    <w:rPr>
                      <w:rFonts w:hint="eastAsia" w:ascii="宋体" w:hAnsi="宋体" w:eastAsia="宋体" w:cs="宋体"/>
                      <w:i w:val="0"/>
                      <w:iCs w:val="0"/>
                      <w:color w:val="000000"/>
                      <w:kern w:val="0"/>
                      <w:sz w:val="20"/>
                      <w:szCs w:val="20"/>
                      <w:u w:val="none"/>
                      <w:lang w:val="en-US" w:eastAsia="zh-CN" w:bidi="ar"/>
                    </w:rPr>
                    <w:t>实际处理的次数/规定需处理的次数*100%</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eastAsia" w:ascii="宋体" w:hAnsi="宋体" w:eastAsia="宋体" w:cs="Times New Roman"/>
                      <w:kern w:val="2"/>
                      <w:sz w:val="21"/>
                      <w:szCs w:val="24"/>
                      <w:lang w:val="en-US" w:eastAsia="zh-CN" w:bidi="ar-SA"/>
                    </w:rPr>
                  </w:pPr>
                  <w:r>
                    <w:rPr>
                      <w:rFonts w:hint="eastAsia" w:ascii="华文楷体" w:hAnsi="华文楷体" w:eastAsia="华文楷体" w:cs="华文楷体"/>
                      <w:sz w:val="24"/>
                      <w:szCs w:val="24"/>
                    </w:rPr>
                    <w:t>杜绝火灾事故。</w:t>
                  </w:r>
                </w:p>
              </w:tc>
              <w:tc>
                <w:tcPr>
                  <w:tcW w:w="3136"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lang w:val="en-US" w:eastAsia="zh-CN" w:bidi="ar-SA"/>
                    </w:rPr>
                  </w:pP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目标已实现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支持</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组织的资源状况：</w:t>
            </w:r>
            <w:r>
              <w:rPr>
                <w:rFonts w:hint="eastAsia"/>
              </w:rPr>
              <w:sym w:font="Wingdings 2" w:char="0052"/>
            </w:r>
            <w:r>
              <w:rPr>
                <w:rFonts w:hint="eastAsia"/>
              </w:rPr>
              <w:t xml:space="preserve">人力资源 </w:t>
            </w:r>
            <w:r>
              <w:rPr>
                <w:rFonts w:hint="eastAsia" w:ascii="Wingdings" w:hAnsi="Wingdings"/>
              </w:rPr>
              <w:t>¨</w:t>
            </w:r>
            <w:r>
              <w:rPr>
                <w:rFonts w:hint="eastAsia"/>
              </w:rPr>
              <w:t xml:space="preserve">自然资源 </w:t>
            </w:r>
            <w:r>
              <w:rPr>
                <w:rFonts w:hint="eastAsia"/>
              </w:rPr>
              <w:sym w:font="Wingdings 2" w:char="0052"/>
            </w:r>
            <w:r>
              <w:rPr>
                <w:rFonts w:hint="eastAsia"/>
              </w:rPr>
              <w:t xml:space="preserve">基础设施  </w:t>
            </w:r>
            <w:r>
              <w:rPr>
                <w:rFonts w:hint="eastAsia" w:ascii="Wingdings" w:hAnsi="Wingdings"/>
              </w:rPr>
              <w:t>¨</w:t>
            </w:r>
            <w:r>
              <w:rPr>
                <w:rFonts w:hint="eastAsia"/>
              </w:rPr>
              <w:t xml:space="preserve">技术  </w:t>
            </w:r>
            <w:r>
              <w:rPr>
                <w:rFonts w:hint="eastAsia"/>
              </w:rPr>
              <w:sym w:font="Wingdings 2" w:char="0052"/>
            </w:r>
            <w:r>
              <w:rPr>
                <w:rFonts w:hint="eastAsia"/>
              </w:rPr>
              <w:t>财务资源。</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现有内部资源的能力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ascii="Times New Roman" w:hAnsi="Times New Roman" w:eastAsia="宋体" w:cs="Times New Roman"/>
              </w:rPr>
            </w:pPr>
            <w:r>
              <w:rPr>
                <w:rFonts w:hint="eastAsia" w:cs="Times New Roman"/>
                <w:lang w:val="en-US" w:eastAsia="zh-CN"/>
              </w:rPr>
              <w:t>办公室面积</w:t>
            </w:r>
            <w:r>
              <w:rPr>
                <w:rFonts w:hint="eastAsia" w:ascii="Times New Roman" w:hAnsi="Times New Roman" w:eastAsia="宋体" w:cs="Times New Roman"/>
                <w:lang w:val="en-US" w:eastAsia="zh-CN"/>
              </w:rPr>
              <w:t>约12</w:t>
            </w:r>
            <w:r>
              <w:rPr>
                <w:rFonts w:hint="eastAsia" w:cs="Times New Roman"/>
                <w:lang w:val="en-US" w:eastAsia="zh-CN"/>
              </w:rPr>
              <w:t>0</w:t>
            </w:r>
            <w:r>
              <w:rPr>
                <w:rFonts w:hint="eastAsia" w:ascii="Times New Roman" w:hAnsi="Times New Roman" w:eastAsia="宋体" w:cs="Times New Roman"/>
              </w:rPr>
              <w:t>平方米；</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主要</w:t>
            </w:r>
            <w:r>
              <w:rPr>
                <w:rFonts w:hint="eastAsia" w:cs="Times New Roman"/>
                <w:lang w:val="en-US" w:eastAsia="zh-CN"/>
              </w:rPr>
              <w:t>办公</w:t>
            </w:r>
            <w:r>
              <w:rPr>
                <w:rFonts w:hint="eastAsia" w:ascii="Times New Roman" w:hAnsi="Times New Roman" w:eastAsia="宋体" w:cs="Times New Roman"/>
              </w:rPr>
              <w:t xml:space="preserve">设备有： </w:t>
            </w:r>
            <w:r>
              <w:rPr>
                <w:rFonts w:hint="eastAsia" w:cs="Times New Roman"/>
                <w:lang w:val="en-US" w:eastAsia="zh-CN"/>
              </w:rPr>
              <w:t>电脑、工作桌</w:t>
            </w:r>
            <w:r>
              <w:rPr>
                <w:rFonts w:hint="eastAsia" w:ascii="Times New Roman" w:hAnsi="Times New Roman" w:eastAsia="宋体" w:cs="Times New Roman"/>
              </w:rPr>
              <w:t xml:space="preserve"> </w:t>
            </w:r>
            <w:r>
              <w:rPr>
                <w:rFonts w:hint="eastAsia" w:cs="Times New Roman"/>
                <w:lang w:eastAsia="zh-CN"/>
              </w:rPr>
              <w:t>、</w:t>
            </w:r>
            <w:r>
              <w:rPr>
                <w:rFonts w:hint="eastAsia" w:cs="Times New Roman"/>
                <w:lang w:val="en-US" w:eastAsia="zh-CN"/>
              </w:rPr>
              <w:t>打印机等</w:t>
            </w:r>
            <w:r>
              <w:rPr>
                <w:rFonts w:hint="eastAsia" w:ascii="Times New Roman" w:hAnsi="Times New Roman" w:eastAsia="宋体" w:cs="Times New Roman"/>
              </w:rPr>
              <w:t xml:space="preserve"> （列举2~4种）</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特种设备：叉车 ¨行车 锅炉 电梯  ¨压力容器  ¨压力管道  ¨不适用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特种设备管理：进行了定期检验  ¨未进行定期检验的有：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基础设施可满足质量管理体系运行；</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 xml:space="preserve">基础设施可基本满足质量管理体系运行，但是还有不足需要补充：           </w:t>
            </w:r>
          </w:p>
          <w:p>
            <w:pPr>
              <w:shd w:val="clear" w:color="auto" w:fill="EBF1DE" w:themeFill="accent3" w:themeFillTint="32"/>
              <w:rPr>
                <w:rFonts w:hint="default"/>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计量器具的</w:t>
            </w:r>
            <w:r>
              <w:rPr>
                <w:rFonts w:hint="default"/>
              </w:rPr>
              <w:t>测量溯源</w:t>
            </w:r>
            <w:r>
              <w:rPr>
                <w:rFonts w:hint="eastAsia"/>
              </w:rPr>
              <w:t xml:space="preserve">方法：  </w:t>
            </w:r>
            <w:r>
              <w:rPr>
                <w:rFonts w:hint="eastAsia" w:ascii="Wingdings" w:hAnsi="Wingdings"/>
              </w:rPr>
              <w:t>¨</w:t>
            </w:r>
            <w:r>
              <w:rPr>
                <w:rFonts w:hint="eastAsia"/>
              </w:rPr>
              <w:t xml:space="preserve">自校   外校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对国家规定持证上岗的人员资质进行了有效的管理。</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特种设备作业人员：叉车工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通过</w:t>
            </w:r>
            <w:r>
              <w:rPr>
                <w:rFonts w:hint="eastAsia" w:ascii="Times New Roman" w:hAnsi="Times New Roman" w:eastAsia="宋体" w:cs="Times New Roman"/>
              </w:rPr>
              <w:t>■</w:t>
            </w:r>
            <w:r>
              <w:rPr>
                <w:rFonts w:hint="eastAsia"/>
              </w:rPr>
              <w:t xml:space="preserve">会议传达 标语  </w:t>
            </w:r>
            <w:r>
              <w:rPr>
                <w:rFonts w:hint="eastAsia" w:ascii="Times New Roman" w:hAnsi="Times New Roman" w:eastAsia="宋体" w:cs="Times New Roman"/>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外部沟通方式：■宣传材料 </w:t>
            </w:r>
            <w:r>
              <w:rPr>
                <w:rFonts w:hint="eastAsia" w:ascii="Times New Roman" w:hAnsi="Times New Roman" w:eastAsia="宋体" w:cs="Times New Roman"/>
              </w:rPr>
              <w:t>■</w:t>
            </w:r>
            <w:r>
              <w:rPr>
                <w:rFonts w:hint="eastAsia"/>
              </w:rPr>
              <w:t xml:space="preserve">网站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组织已建立了文件化的环境管理体系。对自编文件的编制、审批、发放、变更和作废进行了控制。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对环境相关的外来文件（法律法规、产品标准）进行了识别和贯彻。</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运行</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hd w:val="clear" w:color="auto" w:fill="EBF1DE" w:themeFill="accent3" w:themeFillTint="32"/>
              <w:spacing w:before="0" w:beforeAutospacing="0" w:after="0" w:afterAutospacing="0"/>
              <w:ind w:left="0" w:right="0"/>
              <w:rPr>
                <w:rFonts w:hint="default"/>
                <w:highlight w:val="yellow"/>
              </w:rPr>
            </w:pPr>
            <w:r>
              <w:rPr>
                <w:rFonts w:hint="eastAsia"/>
              </w:rPr>
              <w:t xml:space="preserve"> ■</w:t>
            </w:r>
            <w:r>
              <w:rPr>
                <w:rFonts w:hint="eastAsia"/>
                <w:lang w:val="en-US" w:eastAsia="zh-CN"/>
              </w:rPr>
              <w:t>服务</w:t>
            </w:r>
            <w:r>
              <w:rPr>
                <w:rFonts w:hint="eastAsia"/>
              </w:rPr>
              <w:t xml:space="preserve">流程图 ■作业文件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组织建立并实施了与顾客沟通；如产品和服务的环境信息、顾客财产、应急措施等。</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组织对产品和服务的环境要求进行了评审，确保有能力向顾客提供满足要求的产品和服务。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组织建立、实施和保持了适当的设计和开发过程，以确保后续的产品和服务的提供中满足环境相关的法律法规。（适用时）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对该设计和开发的项目对环境因素进行了识别和评价，并制订了控制措施。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设计和开发的环境因素控制：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设备维保  ■运输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重要环境因素</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控制措施</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固废排放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 xml:space="preserve"> 加强分类管理</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火灾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运行检查，查出消防隐患及时整改</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对生产和服务提供过程的环境因素控制■符合要求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组织对生产设备、环保设备、特种设备制订了计划进行了定期的检查、保养和维修；运行完好</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组织在生产和服务提供的整个过程中对危化品特性的进行了标识。</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采用的标识方式：</w:t>
            </w:r>
            <w:r>
              <w:rPr>
                <w:rFonts w:hint="eastAsia" w:ascii="Wingdings" w:hAnsi="Wingdings"/>
              </w:rPr>
              <w:t>¨</w:t>
            </w:r>
            <w:r>
              <w:rPr>
                <w:rFonts w:hint="eastAsia"/>
              </w:rPr>
              <w:t xml:space="preserve">MSDS 危害告知标牌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组织应在生产和服务提供期间对危化品的采购、运输、使用、储存的环境因素进行控制，以确保符合MSDS和法规要求。 </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危化品：符合要求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组织对产品和服务交付后活动的要求。 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制订的应急预案包括：</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lang w:val="en-US" w:eastAsia="zh-CN"/>
              </w:rPr>
              <w:t>5</w:t>
            </w:r>
            <w:r>
              <w:rPr>
                <w:rFonts w:hint="eastAsia"/>
              </w:rPr>
              <w:t>月</w:t>
            </w:r>
            <w:r>
              <w:rPr>
                <w:rFonts w:hint="eastAsia"/>
                <w:u w:val="single"/>
              </w:rPr>
              <w:t xml:space="preserve"> </w:t>
            </w:r>
            <w:r>
              <w:rPr>
                <w:rFonts w:hint="eastAsia"/>
                <w:u w:val="single"/>
                <w:lang w:val="en-US" w:eastAsia="zh-CN"/>
              </w:rPr>
              <w:t>25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ascii="宋体" w:hAnsi="宋体" w:cs="宋体"/>
                <w:color w:val="000000" w:themeColor="text1"/>
                <w:szCs w:val="21"/>
              </w:rPr>
              <w:t>消防演练</w:t>
            </w:r>
            <w:r>
              <w:rPr>
                <w:rFonts w:hint="eastAsia"/>
              </w:rPr>
              <w:t xml:space="preserve">；并总结了预案的可行性和有效性。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定期评审并修订过程和策划的响应措施，特别是发生紧急情况后或进行试验后；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向环境有关的相关方，包括在组织控制下工作的人员提供应急准备和响应相关的信息和培训。</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绩效评价</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组织已分析和评价通过监视和测量获得的适当的数据和信息。</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组织已建立、实施并保持评价其合规义务履行情况所需的过程。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实施合规性评价的时间：</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组织在适当阶段实施策划的安排，以验证环境法律法规的要求已得到满足。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实施的检测：企业自检 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w:t>
            </w:r>
            <w:r>
              <w:rPr>
                <w:rFonts w:hint="eastAsia"/>
                <w:lang w:val="en-US" w:eastAsia="zh-CN"/>
              </w:rPr>
              <w:t>检测</w:t>
            </w:r>
            <w:r>
              <w:rPr>
                <w:rFonts w:hint="eastAsia"/>
              </w:rPr>
              <w:t>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《建筑消防检测报告》编号：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达标评价：符合要求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21-22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eastAsia"/>
              </w:rPr>
            </w:pPr>
            <w:r>
              <w:rPr>
                <w:rFonts w:hint="eastAsia"/>
              </w:rPr>
              <w:t>改进</w:t>
            </w:r>
          </w:p>
          <w:p>
            <w:pPr>
              <w:pStyle w:val="2"/>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组织持续改进了环境管理体系的适宜性、充分性与有效性，以提升环境绩效。</w:t>
            </w:r>
          </w:p>
        </w:tc>
      </w:tr>
    </w:tbl>
    <w:tbl>
      <w:tblPr>
        <w:tblStyle w:val="8"/>
        <w:tblpPr w:leftFromText="180" w:rightFromText="180" w:vertAnchor="text" w:horzAnchor="page" w:tblpX="1077" w:tblpY="560"/>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pStyle w:val="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2E072EE4"/>
    <w:rsid w:val="3E08370A"/>
    <w:rsid w:val="50004A96"/>
    <w:rsid w:val="568D0C61"/>
    <w:rsid w:val="590172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7</TotalTime>
  <ScaleCrop>false</ScaleCrop>
  <LinksUpToDate>false</LinksUpToDate>
  <CharactersWithSpaces>21168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2022-08-26T08:38:28Z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2052-11.1.0.12353</vt:lpwstr>
  </property>
</Properties>
</file>