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河北现代电力变压器有限公司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19.09.01,19.09.02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19.09.01,19.09.02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干式变压器： 原料--拉线--线圈绕制--线圈直阻测量---环氧树脂浇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注</w:t>
            </w:r>
            <w:r>
              <w:rPr>
                <w:rFonts w:hint="eastAsia"/>
                <w:b w:val="0"/>
                <w:bCs/>
                <w:sz w:val="20"/>
              </w:rPr>
              <w:t>---铁芯制造-- 器身绝缘装配------成品试验----入库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油浸式变压器：原料--拉线--线圈绕制-线圈直阻测量---铁芯制造---器身绝缘装配---半成品试验---烘烤--组装--注油----成品试验----入库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箱式变电站：原料--下料机加工--焊接--组装--检验入库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配件：下料—切割—机加工—焊接—喷漆（外包）—检验—入库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注：焊接、浇注</w:t>
            </w:r>
            <w:bookmarkStart w:id="3" w:name="_GoBack"/>
            <w:bookmarkEnd w:id="3"/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为需要确认的过程，喷漆为外包。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关键过程：线圈绕制  、环氧树脂浇铸、  铁芯制造、注油、 焊接 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控制参数： 绕组数量、浇铸温度、时间、铁芯平整度、干燥度、焊接电流、外观等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GB1094.1-2013 《电力变压器 第1部分：总则》； 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GB1094.2-2013《电力变压器第2部分 ：液浸式变压器的温升》；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GB1094.2-2013《电力变压器第3部分 ：绝缘水平、绝缘试验和外绝缘空气间隙》； GB/T6451-2015《油浸式电力变压器技术参数和要求》；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GB/T1094.11-2007《电力变压器 第11部分：干式变压器》；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GB/T10228-2015《干式变压器技术参数和要求》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GB17467-2010《高压/低压预装式变电站》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外观、尺寸、电阻等，需型式检验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57555" cy="150495"/>
                  <wp:effectExtent l="0" t="0" r="0" b="1905"/>
                  <wp:docPr id="3" name="图片 3" descr="张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张星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15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87630</wp:posOffset>
                  </wp:positionV>
                  <wp:extent cx="879475" cy="283210"/>
                  <wp:effectExtent l="0" t="0" r="0" b="8890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112697B"/>
    <w:rsid w:val="043428E7"/>
    <w:rsid w:val="5F192014"/>
    <w:rsid w:val="6DED6A8D"/>
    <w:rsid w:val="763328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580</Words>
  <Characters>760</Characters>
  <Lines>2</Lines>
  <Paragraphs>1</Paragraphs>
  <TotalTime>0</TotalTime>
  <ScaleCrop>false</ScaleCrop>
  <LinksUpToDate>false</LinksUpToDate>
  <CharactersWithSpaces>779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2022-08-22T06:24:59Z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2052-11.1.0.12302</vt:lpwstr>
  </property>
</Properties>
</file>