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西安标准精密机械有限公司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0029-2019-2022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0029-2019-2022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西安标准精密机械有限公司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赵晓春</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ISC-2019-0469</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2024-08-18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三</w:t>
            </w:r>
            <w:bookmarkEnd w:id="8"/>
            <w:r>
              <w:rPr>
                <w:rFonts w:hint="eastAsia" w:cs="宋体" w:asciiTheme="minorEastAsia" w:hAnsiTheme="minorEastAsia"/>
                <w:kern w:val="0"/>
                <w:szCs w:val="21"/>
                <w:lang w:val="en-US" w:eastAsia="zh-CN"/>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2022年08月22日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eastAsia="宋体" w:cs="Times New Roman"/>
                <w:color w:val="000000"/>
                <w:szCs w:val="21"/>
                <w:lang w:val="en-US" w:eastAsia="zh-CN"/>
              </w:rPr>
              <w:t xml:space="preserve">李俐  </w:t>
            </w:r>
            <w:r>
              <w:rPr>
                <w:rFonts w:ascii="宋体" w:hAnsi="宋体" w:eastAsia="宋体" w:cs="Times New Roman"/>
                <w:color w:val="000000"/>
                <w:szCs w:val="21"/>
              </w:rPr>
              <w:t>2021-M1MMS-2222792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40"/>
              </w:tabs>
              <w:spacing w:before="17" w:line="240" w:lineRule="auto"/>
              <w:ind w:right="-20"/>
              <w:jc w:val="center"/>
              <w:rPr>
                <w:rFonts w:hint="eastAsia" w:ascii="宋体" w:hAnsi="宋体" w:eastAsia="宋体" w:cs="宋体"/>
                <w:bCs/>
                <w:kern w:val="0"/>
                <w:szCs w:val="21"/>
              </w:rPr>
            </w:pPr>
            <w:r>
              <w:rPr>
                <w:rFonts w:hint="eastAsia" w:ascii="宋体" w:hAnsi="宋体" w:cs="宋体"/>
                <w:bCs/>
                <w:kern w:val="0"/>
                <w:szCs w:val="21"/>
              </w:rPr>
              <w:t>行</w:t>
            </w:r>
            <w:r>
              <w:rPr>
                <w:rFonts w:hint="eastAsia" w:ascii="宋体" w:hAnsi="宋体" w:eastAsia="宋体" w:cs="宋体"/>
                <w:bCs/>
                <w:kern w:val="0"/>
                <w:szCs w:val="21"/>
              </w:rPr>
              <w:t>政部</w:t>
            </w:r>
            <w:r>
              <w:rPr>
                <w:rFonts w:hint="eastAsia" w:ascii="宋体" w:hAnsi="宋体" w:eastAsia="宋体" w:cs="宋体"/>
                <w:bCs/>
                <w:kern w:val="0"/>
                <w:szCs w:val="21"/>
                <w:lang w:eastAsia="zh-CN"/>
              </w:rPr>
              <w:t>、</w:t>
            </w:r>
            <w:r>
              <w:rPr>
                <w:rFonts w:hint="eastAsia" w:ascii="宋体" w:hAnsi="宋体" w:eastAsia="宋体" w:cs="宋体"/>
                <w:bCs/>
                <w:kern w:val="0"/>
                <w:szCs w:val="21"/>
              </w:rPr>
              <w:t>技术部</w:t>
            </w:r>
          </w:p>
          <w:p>
            <w:pPr>
              <w:tabs>
                <w:tab w:val="left" w:pos="840"/>
              </w:tabs>
              <w:spacing w:before="17" w:line="240" w:lineRule="auto"/>
              <w:ind w:right="-20"/>
              <w:jc w:val="center"/>
              <w:rPr>
                <w:rFonts w:cs="宋体" w:asciiTheme="minorEastAsia" w:hAnsiTheme="minorEastAsia"/>
                <w:kern w:val="0"/>
                <w:szCs w:val="21"/>
              </w:rPr>
            </w:pPr>
            <w:r>
              <w:rPr>
                <w:rFonts w:hint="eastAsia" w:ascii="宋体" w:hAnsi="宋体" w:eastAsia="宋体" w:cs="宋体"/>
                <w:bCs/>
                <w:kern w:val="0"/>
                <w:szCs w:val="21"/>
              </w:rPr>
              <w:t>生产部</w:t>
            </w:r>
            <w:r>
              <w:rPr>
                <w:rFonts w:hint="eastAsia" w:ascii="宋体" w:hAnsi="宋体" w:eastAsia="宋体" w:cs="宋体"/>
                <w:bCs/>
                <w:kern w:val="0"/>
                <w:szCs w:val="21"/>
                <w:lang w:eastAsia="zh-CN"/>
              </w:rPr>
              <w:t>、</w:t>
            </w:r>
            <w:r>
              <w:rPr>
                <w:rFonts w:hint="eastAsia" w:ascii="宋体" w:hAnsi="宋体" w:eastAsia="宋体" w:cs="宋体"/>
                <w:bCs/>
                <w:kern w:val="0"/>
                <w:szCs w:val="21"/>
              </w:rPr>
              <w:t>供销部</w:t>
            </w:r>
          </w:p>
        </w:tc>
      </w:tr>
    </w:tbl>
    <w:p>
      <w:pPr>
        <w:widowControl/>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二、监督审核内容</w:t>
      </w:r>
      <w:r>
        <w:rPr>
          <w:rFonts w:hint="eastAsia" w:ascii="宋体" w:hAnsi="宋体" w:eastAsia="宋体" w:cs="宋体"/>
          <w:bCs/>
          <w:color w:val="000000" w:themeColor="text1"/>
          <w:kern w:val="0"/>
          <w:sz w:val="21"/>
          <w:szCs w:val="21"/>
          <w14:textFill>
            <w14:solidFill>
              <w14:schemeClr w14:val="tx1"/>
            </w14:solidFill>
          </w14:textFill>
        </w:rPr>
        <w:t>：</w:t>
      </w:r>
    </w:p>
    <w:p>
      <w:pPr>
        <w:widowControl/>
        <w:spacing w:line="360" w:lineRule="auto"/>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1.一年内违反法律法规或重大事故的情况：</w:t>
      </w:r>
    </w:p>
    <w:p>
      <w:pPr>
        <w:spacing w:line="360" w:lineRule="auto"/>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20</w:t>
      </w:r>
      <w:r>
        <w:rPr>
          <w:rFonts w:hint="eastAsia" w:ascii="宋体" w:hAnsi="宋体" w:eastAsia="宋体" w:cs="宋体"/>
          <w:bCs/>
          <w:color w:val="000000" w:themeColor="text1"/>
          <w:kern w:val="0"/>
          <w:sz w:val="21"/>
          <w:szCs w:val="21"/>
          <w:lang w:val="en-US" w:eastAsia="zh-CN"/>
          <w14:textFill>
            <w14:solidFill>
              <w14:schemeClr w14:val="tx1"/>
            </w14:solidFill>
          </w14:textFill>
        </w:rPr>
        <w:t>21</w:t>
      </w:r>
      <w:r>
        <w:rPr>
          <w:rFonts w:hint="eastAsia" w:ascii="宋体" w:hAnsi="宋体" w:eastAsia="宋体" w:cs="宋体"/>
          <w:bCs/>
          <w:color w:val="000000" w:themeColor="text1"/>
          <w:kern w:val="0"/>
          <w:sz w:val="21"/>
          <w:szCs w:val="21"/>
          <w14:textFill>
            <w14:solidFill>
              <w14:schemeClr w14:val="tx1"/>
            </w14:solidFill>
          </w14:textFill>
        </w:rPr>
        <w:t>年</w:t>
      </w:r>
      <w:r>
        <w:rPr>
          <w:rFonts w:hint="eastAsia" w:ascii="宋体" w:hAnsi="宋体" w:eastAsia="宋体" w:cs="宋体"/>
          <w:bCs/>
          <w:color w:val="000000" w:themeColor="text1"/>
          <w:kern w:val="0"/>
          <w:sz w:val="21"/>
          <w:szCs w:val="21"/>
          <w:lang w:val="en-US" w:eastAsia="zh-CN"/>
          <w14:textFill>
            <w14:solidFill>
              <w14:schemeClr w14:val="tx1"/>
            </w14:solidFill>
          </w14:textFill>
        </w:rPr>
        <w:t>8</w:t>
      </w:r>
      <w:r>
        <w:rPr>
          <w:rFonts w:hint="eastAsia" w:ascii="宋体" w:hAnsi="宋体" w:eastAsia="宋体" w:cs="宋体"/>
          <w:bCs/>
          <w:color w:val="000000" w:themeColor="text1"/>
          <w:kern w:val="0"/>
          <w:sz w:val="21"/>
          <w:szCs w:val="21"/>
          <w14:textFill>
            <w14:solidFill>
              <w14:schemeClr w14:val="tx1"/>
            </w14:solidFill>
          </w14:textFill>
        </w:rPr>
        <w:t>月至今，公司日常运行中生产经营平稳，企业未有违反法律、法规问题和产品质量问题的投诉或重大质量事故发生。企业营业执照等资质未发生变化。</w:t>
      </w:r>
    </w:p>
    <w:p>
      <w:pPr>
        <w:widowControl/>
        <w:spacing w:line="360" w:lineRule="auto"/>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w:t>
      </w:r>
      <w:r>
        <w:rPr>
          <w:rFonts w:hint="eastAsia" w:ascii="宋体" w:hAnsi="宋体" w:eastAsia="宋体" w:cs="宋体"/>
          <w:bCs/>
          <w:color w:val="000000" w:themeColor="text1"/>
          <w:sz w:val="21"/>
          <w:szCs w:val="21"/>
          <w14:textFill>
            <w14:solidFill>
              <w14:schemeClr w14:val="tx1"/>
            </w14:solidFill>
          </w14:textFill>
        </w:rPr>
        <w:t>内部审核和管理评审</w:t>
      </w:r>
      <w:r>
        <w:rPr>
          <w:rFonts w:hint="eastAsia" w:ascii="宋体" w:hAnsi="宋体" w:eastAsia="宋体" w:cs="宋体"/>
          <w:bCs/>
          <w:color w:val="000000" w:themeColor="text1"/>
          <w:kern w:val="0"/>
          <w:sz w:val="21"/>
          <w:szCs w:val="21"/>
          <w14:textFill>
            <w14:solidFill>
              <w14:schemeClr w14:val="tx1"/>
            </w14:solidFill>
          </w14:textFill>
        </w:rPr>
        <w:t>的情况：</w:t>
      </w:r>
    </w:p>
    <w:p>
      <w:pPr>
        <w:spacing w:line="360" w:lineRule="auto"/>
        <w:rPr>
          <w:rStyle w:val="10"/>
          <w:rFonts w:hint="eastAsia" w:ascii="宋体" w:hAnsi="宋体" w:eastAsia="宋体" w:cs="宋体"/>
          <w:color w:val="000000" w:themeColor="text1"/>
          <w:sz w:val="21"/>
          <w:szCs w:val="21"/>
          <w14:textFill>
            <w14:solidFill>
              <w14:schemeClr w14:val="tx1"/>
            </w14:solidFill>
          </w14:textFill>
        </w:rPr>
      </w:pPr>
      <w:r>
        <w:rPr>
          <w:rStyle w:val="10"/>
          <w:rFonts w:hint="eastAsia" w:ascii="宋体" w:hAnsi="宋体" w:eastAsia="宋体" w:cs="宋体"/>
          <w:color w:val="000000" w:themeColor="text1"/>
          <w:sz w:val="21"/>
          <w:szCs w:val="21"/>
          <w14:textFill>
            <w14:solidFill>
              <w14:schemeClr w14:val="tx1"/>
            </w14:solidFill>
          </w14:textFill>
        </w:rPr>
        <w:t>2.1内审情况：</w:t>
      </w:r>
      <w:r>
        <w:rPr>
          <w:rFonts w:hint="eastAsia" w:ascii="宋体" w:hAnsi="宋体" w:eastAsia="宋体" w:cs="宋体"/>
          <w:bCs/>
          <w:color w:val="000000" w:themeColor="text1"/>
          <w:sz w:val="21"/>
          <w:szCs w:val="21"/>
          <w14:textFill>
            <w14:solidFill>
              <w14:schemeClr w14:val="tx1"/>
            </w14:solidFill>
          </w14:textFill>
        </w:rPr>
        <w:t>公司于</w:t>
      </w:r>
      <w:r>
        <w:rPr>
          <w:rFonts w:hint="eastAsia" w:ascii="宋体" w:hAnsi="宋体" w:eastAsia="宋体" w:cs="宋体"/>
          <w:b w:val="0"/>
          <w:bCs w:val="0"/>
          <w:color w:val="000000" w:themeColor="text1"/>
          <w:sz w:val="21"/>
          <w:szCs w:val="21"/>
          <w14:textFill>
            <w14:solidFill>
              <w14:schemeClr w14:val="tx1"/>
            </w14:solidFill>
          </w14:textFill>
        </w:rPr>
        <w:t>202</w:t>
      </w: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r>
        <w:rPr>
          <w:rFonts w:hint="eastAsia" w:ascii="宋体" w:hAnsi="宋体" w:eastAsia="宋体" w:cs="宋体"/>
          <w:b w:val="0"/>
          <w:bCs w:val="0"/>
          <w:color w:val="000000" w:themeColor="text1"/>
          <w:sz w:val="21"/>
          <w:szCs w:val="21"/>
          <w14:textFill>
            <w14:solidFill>
              <w14:schemeClr w14:val="tx1"/>
            </w14:solidFill>
          </w14:textFill>
        </w:rPr>
        <w:t>年</w:t>
      </w:r>
      <w:r>
        <w:rPr>
          <w:rFonts w:hint="eastAsia" w:ascii="宋体" w:hAnsi="宋体" w:eastAsia="宋体" w:cs="宋体"/>
          <w:b w:val="0"/>
          <w:bCs w:val="0"/>
          <w:color w:val="000000" w:themeColor="text1"/>
          <w:sz w:val="21"/>
          <w:szCs w:val="21"/>
          <w:lang w:val="en-US" w:eastAsia="zh-CN"/>
          <w14:textFill>
            <w14:solidFill>
              <w14:schemeClr w14:val="tx1"/>
            </w14:solidFill>
          </w14:textFill>
        </w:rPr>
        <w:t>7</w:t>
      </w:r>
      <w:r>
        <w:rPr>
          <w:rFonts w:hint="eastAsia" w:ascii="宋体" w:hAnsi="宋体" w:eastAsia="宋体" w:cs="宋体"/>
          <w:b w:val="0"/>
          <w:bCs w:val="0"/>
          <w:color w:val="000000" w:themeColor="text1"/>
          <w:sz w:val="21"/>
          <w:szCs w:val="21"/>
          <w14:textFill>
            <w14:solidFill>
              <w14:schemeClr w14:val="tx1"/>
            </w14:solidFill>
          </w14:textFill>
        </w:rPr>
        <w:t>月</w:t>
      </w:r>
      <w:r>
        <w:rPr>
          <w:rFonts w:hint="eastAsia" w:ascii="宋体" w:hAnsi="宋体" w:eastAsia="宋体" w:cs="宋体"/>
          <w:b w:val="0"/>
          <w:bCs w:val="0"/>
          <w:color w:val="000000" w:themeColor="text1"/>
          <w:sz w:val="21"/>
          <w:szCs w:val="21"/>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14:textFill>
            <w14:solidFill>
              <w14:schemeClr w14:val="tx1"/>
            </w14:solidFill>
          </w14:textFill>
        </w:rPr>
        <w:t>日</w:t>
      </w:r>
      <w:r>
        <w:rPr>
          <w:rFonts w:hint="eastAsia" w:ascii="宋体" w:hAnsi="宋体" w:eastAsia="宋体" w:cs="宋体"/>
          <w:bCs/>
          <w:color w:val="000000" w:themeColor="text1"/>
          <w:sz w:val="21"/>
          <w:szCs w:val="21"/>
          <w14:textFill>
            <w14:solidFill>
              <w14:schemeClr w14:val="tx1"/>
            </w14:solidFill>
          </w14:textFill>
        </w:rPr>
        <w:t>组织了公司测量管理体系，内审分</w:t>
      </w:r>
      <w:r>
        <w:rPr>
          <w:rFonts w:hint="eastAsia" w:ascii="宋体" w:hAnsi="宋体" w:eastAsia="宋体" w:cs="宋体"/>
          <w:bCs/>
          <w:color w:val="000000" w:themeColor="text1"/>
          <w:sz w:val="21"/>
          <w:szCs w:val="21"/>
          <w:lang w:val="en-US" w:eastAsia="zh-CN"/>
          <w14:textFill>
            <w14:solidFill>
              <w14:schemeClr w14:val="tx1"/>
            </w14:solidFill>
          </w14:textFill>
        </w:rPr>
        <w:t>2</w:t>
      </w:r>
      <w:r>
        <w:rPr>
          <w:rFonts w:hint="eastAsia" w:ascii="宋体" w:hAnsi="宋体" w:eastAsia="宋体" w:cs="宋体"/>
          <w:bCs/>
          <w:color w:val="000000" w:themeColor="text1"/>
          <w:sz w:val="21"/>
          <w:szCs w:val="21"/>
          <w14:textFill>
            <w14:solidFill>
              <w14:schemeClr w14:val="tx1"/>
            </w14:solidFill>
          </w14:textFill>
        </w:rPr>
        <w:t>个组，对公司</w:t>
      </w:r>
      <w:r>
        <w:rPr>
          <w:rFonts w:hint="eastAsia" w:ascii="宋体" w:hAnsi="宋体" w:eastAsia="宋体" w:cs="宋体"/>
          <w:bCs/>
          <w:color w:val="000000" w:themeColor="text1"/>
          <w:sz w:val="21"/>
          <w:szCs w:val="21"/>
          <w:lang w:val="en-US" w:eastAsia="zh-CN"/>
          <w14:textFill>
            <w14:solidFill>
              <w14:schemeClr w14:val="tx1"/>
            </w14:solidFill>
          </w14:textFill>
        </w:rPr>
        <w:t>4</w:t>
      </w:r>
      <w:r>
        <w:rPr>
          <w:rFonts w:hint="eastAsia" w:ascii="宋体" w:hAnsi="宋体" w:eastAsia="宋体" w:cs="宋体"/>
          <w:bCs/>
          <w:color w:val="000000" w:themeColor="text1"/>
          <w:sz w:val="21"/>
          <w:szCs w:val="21"/>
          <w14:textFill>
            <w14:solidFill>
              <w14:schemeClr w14:val="tx1"/>
            </w14:solidFill>
          </w14:textFill>
        </w:rPr>
        <w:t>个部门进行了全要素的审核，共开出了</w:t>
      </w:r>
      <w:r>
        <w:rPr>
          <w:rFonts w:hint="eastAsia" w:ascii="宋体" w:hAnsi="宋体" w:eastAsia="宋体" w:cs="宋体"/>
          <w:bCs/>
          <w:color w:val="000000" w:themeColor="text1"/>
          <w:sz w:val="21"/>
          <w:szCs w:val="21"/>
          <w:lang w:val="en-US" w:eastAsia="zh-CN"/>
          <w14:textFill>
            <w14:solidFill>
              <w14:schemeClr w14:val="tx1"/>
            </w14:solidFill>
          </w14:textFill>
        </w:rPr>
        <w:t>1</w:t>
      </w:r>
      <w:r>
        <w:rPr>
          <w:rFonts w:hint="eastAsia" w:ascii="宋体" w:hAnsi="宋体" w:eastAsia="宋体" w:cs="宋体"/>
          <w:bCs/>
          <w:color w:val="000000" w:themeColor="text1"/>
          <w:sz w:val="21"/>
          <w:szCs w:val="21"/>
          <w14:textFill>
            <w14:solidFill>
              <w14:schemeClr w14:val="tx1"/>
            </w14:solidFill>
          </w14:textFill>
        </w:rPr>
        <w:t>不符合项，于</w:t>
      </w:r>
      <w:r>
        <w:rPr>
          <w:rFonts w:hint="eastAsia" w:ascii="宋体" w:hAnsi="宋体" w:eastAsia="宋体" w:cs="宋体"/>
          <w:bCs/>
          <w:color w:val="000000" w:themeColor="text1"/>
          <w:sz w:val="21"/>
          <w:szCs w:val="21"/>
          <w:lang w:val="en-US" w:eastAsia="zh-CN"/>
          <w14:textFill>
            <w14:solidFill>
              <w14:schemeClr w14:val="tx1"/>
            </w14:solidFill>
          </w14:textFill>
        </w:rPr>
        <w:t>7</w:t>
      </w:r>
      <w:r>
        <w:rPr>
          <w:rFonts w:hint="eastAsia" w:ascii="宋体" w:hAnsi="宋体" w:eastAsia="宋体" w:cs="宋体"/>
          <w:bCs/>
          <w:color w:val="000000" w:themeColor="text1"/>
          <w:sz w:val="21"/>
          <w:szCs w:val="21"/>
          <w14:textFill>
            <w14:solidFill>
              <w14:schemeClr w14:val="tx1"/>
            </w14:solidFill>
          </w14:textFill>
        </w:rPr>
        <w:t>月</w:t>
      </w:r>
      <w:r>
        <w:rPr>
          <w:rFonts w:hint="eastAsia" w:ascii="宋体" w:hAnsi="宋体" w:eastAsia="宋体" w:cs="宋体"/>
          <w:bCs/>
          <w:color w:val="000000" w:themeColor="text1"/>
          <w:sz w:val="21"/>
          <w:szCs w:val="21"/>
          <w:lang w:val="en-US" w:eastAsia="zh-CN"/>
          <w14:textFill>
            <w14:solidFill>
              <w14:schemeClr w14:val="tx1"/>
            </w14:solidFill>
          </w14:textFill>
        </w:rPr>
        <w:t>16</w:t>
      </w:r>
      <w:r>
        <w:rPr>
          <w:rFonts w:hint="eastAsia" w:ascii="宋体" w:hAnsi="宋体" w:eastAsia="宋体" w:cs="宋体"/>
          <w:bCs/>
          <w:color w:val="000000" w:themeColor="text1"/>
          <w:sz w:val="21"/>
          <w:szCs w:val="21"/>
          <w14:textFill>
            <w14:solidFill>
              <w14:schemeClr w14:val="tx1"/>
            </w14:solidFill>
          </w14:textFill>
        </w:rPr>
        <w:t>日完成整改。</w:t>
      </w:r>
    </w:p>
    <w:p>
      <w:pPr>
        <w:spacing w:line="360" w:lineRule="auto"/>
        <w:rPr>
          <w:rStyle w:val="10"/>
          <w:rFonts w:hint="eastAsia" w:ascii="宋体" w:hAnsi="宋体" w:eastAsia="宋体" w:cs="宋体"/>
          <w:color w:val="000000" w:themeColor="text1"/>
          <w:sz w:val="21"/>
          <w:szCs w:val="21"/>
          <w14:textFill>
            <w14:solidFill>
              <w14:schemeClr w14:val="tx1"/>
            </w14:solidFill>
          </w14:textFill>
        </w:rPr>
      </w:pPr>
      <w:r>
        <w:rPr>
          <w:rStyle w:val="10"/>
          <w:rFonts w:hint="eastAsia" w:ascii="宋体" w:hAnsi="宋体" w:eastAsia="宋体" w:cs="宋体"/>
          <w:color w:val="000000" w:themeColor="text1"/>
          <w:sz w:val="21"/>
          <w:szCs w:val="21"/>
          <w14:textFill>
            <w14:solidFill>
              <w14:schemeClr w14:val="tx1"/>
            </w14:solidFill>
          </w14:textFill>
        </w:rPr>
        <w:t>2.2管理评审情况：企</w:t>
      </w:r>
      <w:r>
        <w:rPr>
          <w:rFonts w:hint="eastAsia" w:ascii="宋体" w:hAnsi="宋体" w:eastAsia="宋体" w:cs="宋体"/>
          <w:bCs/>
          <w:color w:val="000000" w:themeColor="text1"/>
          <w:sz w:val="21"/>
          <w:szCs w:val="21"/>
          <w14:textFill>
            <w14:solidFill>
              <w14:schemeClr w14:val="tx1"/>
            </w14:solidFill>
          </w14:textFill>
        </w:rPr>
        <w:t>业</w:t>
      </w:r>
      <w:r>
        <w:rPr>
          <w:rFonts w:hint="eastAsia" w:ascii="宋体" w:hAnsi="宋体" w:eastAsia="宋体" w:cs="宋体"/>
          <w:color w:val="000000" w:themeColor="text1"/>
          <w:sz w:val="21"/>
          <w:szCs w:val="21"/>
          <w14:textFill>
            <w14:solidFill>
              <w14:schemeClr w14:val="tx1"/>
            </w14:solidFill>
          </w14:textFill>
        </w:rPr>
        <w:t>于</w:t>
      </w:r>
      <w:r>
        <w:rPr>
          <w:rFonts w:hint="eastAsia" w:ascii="宋体" w:hAnsi="宋体" w:eastAsia="宋体" w:cs="宋体"/>
          <w:b w:val="0"/>
          <w:bCs w:val="0"/>
          <w:color w:val="000000" w:themeColor="text1"/>
          <w:sz w:val="21"/>
          <w:szCs w:val="21"/>
          <w:lang w:val="en-US" w:eastAsia="zh-CN"/>
          <w14:textFill>
            <w14:solidFill>
              <w14:schemeClr w14:val="tx1"/>
            </w14:solidFill>
          </w14:textFill>
        </w:rPr>
        <w:t>2022年7月18日</w:t>
      </w:r>
      <w:r>
        <w:rPr>
          <w:rFonts w:hint="eastAsia" w:ascii="宋体" w:hAnsi="宋体" w:eastAsia="宋体" w:cs="宋体"/>
          <w:color w:val="000000" w:themeColor="text1"/>
          <w:sz w:val="21"/>
          <w:szCs w:val="21"/>
          <w14:textFill>
            <w14:solidFill>
              <w14:schemeClr w14:val="tx1"/>
            </w14:solidFill>
          </w14:textFill>
        </w:rPr>
        <w:t>开展了</w:t>
      </w:r>
      <w:r>
        <w:rPr>
          <w:rFonts w:hint="eastAsia" w:ascii="宋体" w:hAnsi="宋体" w:eastAsia="宋体" w:cs="宋体"/>
          <w:b/>
          <w:bCs/>
          <w:color w:val="000000" w:themeColor="text1"/>
          <w:sz w:val="21"/>
          <w:szCs w:val="21"/>
          <w14:textFill>
            <w14:solidFill>
              <w14:schemeClr w14:val="tx1"/>
            </w14:solidFill>
          </w14:textFill>
        </w:rPr>
        <w:t>单</w:t>
      </w:r>
      <w:r>
        <w:rPr>
          <w:rFonts w:hint="eastAsia" w:ascii="宋体" w:hAnsi="宋体" w:eastAsia="宋体" w:cs="宋体"/>
          <w:color w:val="000000" w:themeColor="text1"/>
          <w:sz w:val="21"/>
          <w:szCs w:val="21"/>
          <w14:textFill>
            <w14:solidFill>
              <w14:schemeClr w14:val="tx1"/>
            </w14:solidFill>
          </w14:textFill>
        </w:rPr>
        <w:t>体系管理评审，</w:t>
      </w:r>
      <w:r>
        <w:rPr>
          <w:rFonts w:hint="eastAsia" w:ascii="宋体" w:hAnsi="宋体" w:eastAsia="宋体" w:cs="宋体"/>
          <w:color w:val="000000" w:themeColor="text1"/>
          <w:sz w:val="21"/>
          <w:szCs w:val="21"/>
          <w:lang w:val="en-US" w:eastAsia="zh-CN"/>
          <w14:textFill>
            <w14:solidFill>
              <w14:schemeClr w14:val="tx1"/>
            </w14:solidFill>
          </w14:textFill>
        </w:rPr>
        <w:t>会议由公司总经理吕珂玲主持，由公司各部门分别按管理评审输入要求汇报了体系运行实施及完成情况。管代杨杰总结了测量体系的运行情况，并肯定了公司测量管理体系运行的充分性、有效性和适宜性。形成了管理评审报告，</w:t>
      </w:r>
      <w:r>
        <w:rPr>
          <w:rFonts w:hint="eastAsia" w:ascii="宋体" w:hAnsi="宋体" w:eastAsia="宋体" w:cs="宋体"/>
          <w:color w:val="000000" w:themeColor="text1"/>
          <w:sz w:val="21"/>
          <w:szCs w:val="21"/>
          <w14:textFill>
            <w14:solidFill>
              <w14:schemeClr w14:val="tx1"/>
            </w14:solidFill>
          </w14:textFill>
        </w:rPr>
        <w:t>对公司测量管理体系目前存在的</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个方面的问题落实了整改部门。</w:t>
      </w:r>
    </w:p>
    <w:p>
      <w:pPr>
        <w:widowControl/>
        <w:spacing w:line="360" w:lineRule="auto"/>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3.为持续改进而策划的活动的进展企业对识别的关键测量过程进行了持续的控制，</w:t>
      </w:r>
      <w:r>
        <w:rPr>
          <w:rFonts w:hint="eastAsia" w:ascii="宋体" w:hAnsi="宋体" w:eastAsia="宋体" w:cs="宋体"/>
          <w:bCs/>
          <w:color w:val="000000" w:themeColor="text1"/>
          <w:kern w:val="0"/>
          <w:sz w:val="21"/>
          <w:szCs w:val="21"/>
          <w:lang w:val="en-US" w:eastAsia="zh-CN"/>
          <w14:textFill>
            <w14:solidFill>
              <w14:schemeClr w14:val="tx1"/>
            </w14:solidFill>
          </w14:textFill>
        </w:rPr>
        <w:t>未</w:t>
      </w:r>
      <w:r>
        <w:rPr>
          <w:rFonts w:hint="eastAsia" w:ascii="宋体" w:hAnsi="宋体" w:eastAsia="宋体" w:cs="宋体"/>
          <w:bCs/>
          <w:color w:val="000000" w:themeColor="text1"/>
          <w:kern w:val="0"/>
          <w:sz w:val="21"/>
          <w:szCs w:val="21"/>
          <w14:textFill>
            <w14:solidFill>
              <w14:schemeClr w14:val="tx1"/>
            </w14:solidFill>
          </w14:textFill>
        </w:rPr>
        <w:t>增关键测量过程：</w:t>
      </w:r>
    </w:p>
    <w:p>
      <w:pPr>
        <w:widowControl/>
        <w:spacing w:line="360" w:lineRule="auto"/>
        <w:jc w:val="left"/>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a)计量要求的导出和验证：查</w:t>
      </w:r>
      <w:r>
        <w:rPr>
          <w:rFonts w:hint="eastAsia" w:ascii="宋体" w:hAnsi="宋体" w:eastAsia="宋体" w:cs="宋体"/>
          <w:color w:val="000000" w:themeColor="text1"/>
          <w:sz w:val="21"/>
          <w:szCs w:val="21"/>
          <w:lang w:val="en-US" w:eastAsia="zh-CN"/>
          <w14:textFill>
            <w14:solidFill>
              <w14:schemeClr w14:val="tx1"/>
            </w14:solidFill>
          </w14:textFill>
        </w:rPr>
        <w:t>操纵窗口盖轴承端孔径检测</w:t>
      </w:r>
      <w:r>
        <w:rPr>
          <w:rFonts w:hint="eastAsia" w:ascii="宋体" w:hAnsi="宋体" w:eastAsia="宋体" w:cs="宋体"/>
          <w:color w:val="000000" w:themeColor="text1"/>
          <w:sz w:val="21"/>
          <w:szCs w:val="21"/>
          <w14:textFill>
            <w14:solidFill>
              <w14:schemeClr w14:val="tx1"/>
            </w14:solidFill>
          </w14:textFill>
        </w:rPr>
        <w:t>过程，计量要求导出方法正确，验证满足测量过程要求。祥见附件《计量要求导出及验证记录表》</w:t>
      </w:r>
    </w:p>
    <w:p>
      <w:pPr>
        <w:widowControl/>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b)测量不确定评定：查</w:t>
      </w:r>
      <w:r>
        <w:rPr>
          <w:rFonts w:hint="eastAsia" w:ascii="宋体" w:hAnsi="宋体" w:eastAsia="宋体" w:cs="宋体"/>
          <w:color w:val="000000" w:themeColor="text1"/>
          <w:sz w:val="21"/>
          <w:szCs w:val="21"/>
          <w:lang w:val="en-US" w:eastAsia="zh-CN"/>
          <w14:textFill>
            <w14:solidFill>
              <w14:schemeClr w14:val="tx1"/>
            </w14:solidFill>
          </w14:textFill>
        </w:rPr>
        <w:t>操纵窗口盖轴承端孔径检测</w:t>
      </w:r>
      <w:r>
        <w:rPr>
          <w:rFonts w:hint="eastAsia" w:ascii="宋体" w:hAnsi="宋体" w:eastAsia="宋体" w:cs="宋体"/>
          <w:color w:val="000000" w:themeColor="text1"/>
          <w:sz w:val="21"/>
          <w:szCs w:val="21"/>
          <w14:textFill>
            <w14:solidFill>
              <w14:schemeClr w14:val="tx1"/>
            </w14:solidFill>
          </w14:textFill>
        </w:rPr>
        <w:t>过程，测量不确定度评定正确。祥见附件《测量不确定度评定》</w:t>
      </w:r>
    </w:p>
    <w:p>
      <w:pPr>
        <w:widowControl/>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c)有效性确认：查</w:t>
      </w:r>
      <w:r>
        <w:rPr>
          <w:rFonts w:hint="eastAsia" w:ascii="宋体" w:hAnsi="宋体" w:eastAsia="宋体" w:cs="宋体"/>
          <w:color w:val="000000" w:themeColor="text1"/>
          <w:sz w:val="21"/>
          <w:szCs w:val="21"/>
          <w:lang w:val="en-US" w:eastAsia="zh-CN"/>
          <w14:textFill>
            <w14:solidFill>
              <w14:schemeClr w14:val="tx1"/>
            </w14:solidFill>
          </w14:textFill>
        </w:rPr>
        <w:t>操纵窗口盖轴承端孔径检测</w:t>
      </w:r>
      <w:r>
        <w:rPr>
          <w:rFonts w:hint="eastAsia" w:ascii="宋体" w:hAnsi="宋体" w:eastAsia="宋体" w:cs="宋体"/>
          <w:color w:val="000000" w:themeColor="text1"/>
          <w:sz w:val="21"/>
          <w:szCs w:val="21"/>
          <w14:textFill>
            <w14:solidFill>
              <w14:schemeClr w14:val="tx1"/>
            </w14:solidFill>
          </w14:textFill>
        </w:rPr>
        <w:t>过程，采用计量</w:t>
      </w:r>
      <w:r>
        <w:rPr>
          <w:rFonts w:hint="eastAsia" w:ascii="宋体" w:hAnsi="宋体" w:eastAsia="宋体" w:cs="宋体"/>
          <w:color w:val="000000" w:themeColor="text1"/>
          <w:sz w:val="21"/>
          <w:szCs w:val="21"/>
          <w:lang w:val="en-US" w:eastAsia="zh-CN"/>
          <w14:textFill>
            <w14:solidFill>
              <w14:schemeClr w14:val="tx1"/>
            </w14:solidFill>
          </w14:textFill>
        </w:rPr>
        <w:t>器具</w:t>
      </w:r>
      <w:r>
        <w:rPr>
          <w:rFonts w:hint="eastAsia" w:ascii="宋体" w:hAnsi="宋体" w:eastAsia="宋体" w:cs="宋体"/>
          <w:color w:val="000000" w:themeColor="text1"/>
          <w:sz w:val="21"/>
          <w:szCs w:val="21"/>
          <w14:textFill>
            <w14:solidFill>
              <w14:schemeClr w14:val="tx1"/>
            </w14:solidFill>
          </w14:textFill>
        </w:rPr>
        <w:t>比对</w:t>
      </w:r>
      <w:r>
        <w:rPr>
          <w:rFonts w:hint="eastAsia" w:ascii="宋体" w:hAnsi="宋体" w:eastAsia="宋体" w:cs="宋体"/>
          <w:color w:val="000000" w:themeColor="text1"/>
          <w:sz w:val="21"/>
          <w:szCs w:val="21"/>
          <w:lang w:val="en-US" w:eastAsia="zh-CN"/>
          <w14:textFill>
            <w14:solidFill>
              <w14:schemeClr w14:val="tx1"/>
            </w14:solidFill>
          </w14:textFill>
        </w:rPr>
        <w:t>法</w:t>
      </w:r>
      <w:r>
        <w:rPr>
          <w:rFonts w:hint="eastAsia" w:ascii="宋体" w:hAnsi="宋体" w:eastAsia="宋体" w:cs="宋体"/>
          <w:color w:val="000000" w:themeColor="text1"/>
          <w:sz w:val="21"/>
          <w:szCs w:val="21"/>
          <w14:textFill>
            <w14:solidFill>
              <w14:schemeClr w14:val="tx1"/>
            </w14:solidFill>
          </w14:textFill>
        </w:rPr>
        <w:t>进行有效性确认，满足要求。祥见附件《测量过程有效性确认》</w:t>
      </w:r>
    </w:p>
    <w:p>
      <w:pPr>
        <w:widowControl/>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d)测量过程的控制：查</w:t>
      </w:r>
      <w:r>
        <w:rPr>
          <w:rFonts w:hint="eastAsia" w:ascii="宋体" w:hAnsi="宋体" w:eastAsia="宋体" w:cs="宋体"/>
          <w:color w:val="000000" w:themeColor="text1"/>
          <w:sz w:val="21"/>
          <w:szCs w:val="21"/>
          <w:lang w:val="en-US" w:eastAsia="zh-CN"/>
          <w14:textFill>
            <w14:solidFill>
              <w14:schemeClr w14:val="tx1"/>
            </w14:solidFill>
          </w14:textFill>
        </w:rPr>
        <w:t>操纵窗口盖轴承端孔径检测</w:t>
      </w:r>
      <w:r>
        <w:rPr>
          <w:rFonts w:hint="eastAsia" w:ascii="宋体" w:hAnsi="宋体" w:eastAsia="宋体" w:cs="宋体"/>
          <w:color w:val="000000" w:themeColor="text1"/>
          <w:sz w:val="21"/>
          <w:szCs w:val="21"/>
          <w14:textFill>
            <w14:solidFill>
              <w14:schemeClr w14:val="tx1"/>
            </w14:solidFill>
          </w14:textFill>
        </w:rPr>
        <w:t>过程，编制了控制规范，对测量人员、测量设备、测量环境进行控制，满足要求。</w:t>
      </w:r>
    </w:p>
    <w:p>
      <w:pPr>
        <w:widowControl/>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e)测量过程的监视：查</w:t>
      </w:r>
      <w:r>
        <w:rPr>
          <w:rFonts w:hint="eastAsia" w:ascii="宋体" w:hAnsi="宋体" w:eastAsia="宋体" w:cs="宋体"/>
          <w:color w:val="000000" w:themeColor="text1"/>
          <w:sz w:val="21"/>
          <w:szCs w:val="21"/>
          <w:lang w:val="en-US" w:eastAsia="zh-CN"/>
          <w14:textFill>
            <w14:solidFill>
              <w14:schemeClr w14:val="tx1"/>
            </w14:solidFill>
          </w14:textFill>
        </w:rPr>
        <w:t>操纵窗口盖轴承端孔径检测</w:t>
      </w:r>
      <w:r>
        <w:rPr>
          <w:rFonts w:hint="eastAsia" w:ascii="宋体" w:hAnsi="宋体" w:eastAsia="宋体" w:cs="宋体"/>
          <w:color w:val="000000" w:themeColor="text1"/>
          <w:sz w:val="21"/>
          <w:szCs w:val="21"/>
          <w14:textFill>
            <w14:solidFill>
              <w14:schemeClr w14:val="tx1"/>
            </w14:solidFill>
          </w14:textFill>
        </w:rPr>
        <w:t>过程，</w:t>
      </w:r>
      <w:r>
        <w:rPr>
          <w:rFonts w:hint="eastAsia" w:ascii="宋体" w:hAnsi="宋体" w:eastAsia="宋体" w:cs="宋体"/>
          <w:color w:val="000000" w:themeColor="text1"/>
          <w:kern w:val="0"/>
          <w:sz w:val="21"/>
          <w:szCs w:val="21"/>
          <w14:textFill>
            <w14:solidFill>
              <w14:schemeClr w14:val="tx1"/>
            </w14:solidFill>
          </w14:textFill>
        </w:rPr>
        <w:t>采用统计技术进行控制和监视测量过程。祥见《测量过程监视记录》</w:t>
      </w:r>
    </w:p>
    <w:p>
      <w:pPr>
        <w:widowControl/>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f)测量设备的溯源：</w:t>
      </w:r>
      <w:r>
        <w:rPr>
          <w:rFonts w:hint="eastAsia" w:ascii="宋体" w:hAnsi="宋体" w:eastAsia="宋体" w:cs="宋体"/>
          <w:color w:val="000000" w:themeColor="text1"/>
          <w:sz w:val="21"/>
          <w:szCs w:val="21"/>
          <w14:textFill>
            <w14:solidFill>
              <w14:schemeClr w14:val="tx1"/>
            </w14:solidFill>
          </w14:textFill>
        </w:rPr>
        <w:t>企业未建立最高标准器，所有测量设备均送至江苏世通仪器检测服务有限公司有限公司检定/校准，抽查8份测量设备，量值溯源满足要求。祥见《测量设备溯源检查表》</w:t>
      </w:r>
    </w:p>
    <w:p>
      <w:pPr>
        <w:widowControl/>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4.能源管理情况：</w:t>
      </w:r>
    </w:p>
    <w:p>
      <w:pPr>
        <w:widowControl/>
        <w:spacing w:line="360" w:lineRule="auto"/>
        <w:ind w:firstLine="420" w:firstLineChars="200"/>
        <w:rPr>
          <w:rFonts w:hint="eastAsia" w:ascii="宋体" w:hAnsi="宋体" w:eastAsia="宋体" w:cs="宋体"/>
          <w:bCs/>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企业主要耗能为电；20</w:t>
      </w:r>
      <w:r>
        <w:rPr>
          <w:rFonts w:hint="eastAsia" w:ascii="宋体" w:hAnsi="宋体" w:eastAsia="宋体" w:cs="宋体"/>
          <w:color w:val="000000" w:themeColor="text1"/>
          <w:sz w:val="21"/>
          <w:szCs w:val="21"/>
          <w:lang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年耗能</w:t>
      </w:r>
      <w:r>
        <w:rPr>
          <w:rFonts w:hint="eastAsia" w:ascii="宋体" w:hAnsi="宋体" w:eastAsia="宋体" w:cs="宋体"/>
          <w:color w:val="000000" w:themeColor="text1"/>
          <w:sz w:val="21"/>
          <w:szCs w:val="21"/>
          <w:lang w:val="en-US" w:eastAsia="zh-CN"/>
          <w14:textFill>
            <w14:solidFill>
              <w14:schemeClr w14:val="tx1"/>
            </w14:solidFill>
          </w14:textFill>
        </w:rPr>
        <w:t>26</w:t>
      </w:r>
      <w:r>
        <w:rPr>
          <w:rFonts w:hint="eastAsia" w:ascii="宋体" w:hAnsi="宋体" w:eastAsia="宋体" w:cs="宋体"/>
          <w:color w:val="000000" w:themeColor="text1"/>
          <w:sz w:val="21"/>
          <w:szCs w:val="21"/>
          <w14:textFill>
            <w14:solidFill>
              <w14:schemeClr w14:val="tx1"/>
            </w14:solidFill>
          </w14:textFill>
        </w:rPr>
        <w:t>吨标准煤</w:t>
      </w:r>
      <w:r>
        <w:rPr>
          <w:rFonts w:hint="eastAsia" w:ascii="宋体" w:hAnsi="宋体" w:eastAsia="宋体" w:cs="宋体"/>
          <w:color w:val="000000" w:themeColor="text1"/>
          <w:sz w:val="21"/>
          <w:szCs w:val="21"/>
          <w:lang w:eastAsia="zh-CN"/>
          <w14:textFill>
            <w14:solidFill>
              <w14:schemeClr w14:val="tx1"/>
            </w14:solidFill>
          </w14:textFill>
        </w:rPr>
        <w:t>。不是重点耗能</w:t>
      </w:r>
      <w:r>
        <w:rPr>
          <w:rFonts w:hint="eastAsia" w:ascii="宋体" w:hAnsi="宋体" w:eastAsia="宋体" w:cs="宋体"/>
          <w:color w:val="000000" w:themeColor="text1"/>
          <w:sz w:val="21"/>
          <w:szCs w:val="21"/>
          <w14:textFill>
            <w14:solidFill>
              <w14:schemeClr w14:val="tx1"/>
            </w14:solidFill>
          </w14:textFill>
        </w:rPr>
        <w:t>单位，企业配备进出公司</w:t>
      </w:r>
      <w:r>
        <w:rPr>
          <w:rFonts w:hint="eastAsia" w:ascii="宋体" w:hAnsi="宋体" w:eastAsia="宋体" w:cs="宋体"/>
          <w:color w:val="000000" w:themeColor="text1"/>
          <w:sz w:val="21"/>
          <w:szCs w:val="21"/>
          <w:lang w:eastAsia="zh-CN"/>
          <w14:textFill>
            <w14:solidFill>
              <w14:schemeClr w14:val="tx1"/>
            </w14:solidFill>
          </w14:textFill>
        </w:rPr>
        <w:t>为</w:t>
      </w:r>
      <w:r>
        <w:rPr>
          <w:rFonts w:hint="eastAsia" w:ascii="宋体" w:hAnsi="宋体" w:eastAsia="宋体" w:cs="宋体"/>
          <w:color w:val="000000" w:themeColor="text1"/>
          <w:sz w:val="21"/>
          <w:szCs w:val="21"/>
          <w14:textFill>
            <w14:solidFill>
              <w14:schemeClr w14:val="tx1"/>
            </w14:solidFill>
          </w14:textFill>
        </w:rPr>
        <w:t>电能表0.5级</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配备了2台电能表精度等级0.5级，满足GB/17167的要求4.3条款要求。</w:t>
      </w:r>
    </w:p>
    <w:p>
      <w:pPr>
        <w:widowControl/>
        <w:numPr>
          <w:ilvl w:val="0"/>
          <w:numId w:val="1"/>
        </w:numPr>
        <w:spacing w:line="36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对认证审核时提出的的不符合项的纠正措施情况有表述</w:t>
      </w:r>
      <w:r>
        <w:rPr>
          <w:rFonts w:hint="eastAsia" w:ascii="宋体" w:hAnsi="宋体" w:eastAsia="宋体" w:cs="宋体"/>
          <w:bCs/>
          <w:color w:val="000000" w:themeColor="text1"/>
          <w:kern w:val="0"/>
          <w:sz w:val="21"/>
          <w:szCs w:val="21"/>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 </w:t>
      </w:r>
    </w:p>
    <w:p>
      <w:pPr>
        <w:widowControl/>
        <w:numPr>
          <w:numId w:val="0"/>
        </w:numPr>
        <w:spacing w:line="360" w:lineRule="auto"/>
        <w:ind w:firstLine="420" w:firstLineChars="200"/>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查2021年外审开出了一项不符合项报告：“在生产部审核时发现，现场使用的8种光滑塞规没有建立台账并予以控制，”企业对不符合组织了纠正，对计量器具登记纳入计量器具台账，进行有效管理；对相关人员进行了培训，避免相同问题重复发生。验证该不符合项纠正措施有效，同意关闭。</w:t>
      </w:r>
    </w:p>
    <w:p>
      <w:pPr>
        <w:widowControl/>
        <w:numPr>
          <w:ilvl w:val="0"/>
          <w:numId w:val="2"/>
        </w:numPr>
        <w:spacing w:line="360" w:lineRule="auto"/>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对</w:t>
      </w:r>
      <w:r>
        <w:rPr>
          <w:rFonts w:hint="eastAsia" w:ascii="宋体" w:hAnsi="宋体" w:eastAsia="宋体" w:cs="宋体"/>
          <w:bCs/>
          <w:color w:val="000000" w:themeColor="text1"/>
          <w:sz w:val="21"/>
          <w:szCs w:val="21"/>
          <w14:textFill>
            <w14:solidFill>
              <w14:schemeClr w14:val="tx1"/>
            </w14:solidFill>
          </w14:textFill>
        </w:rPr>
        <w:t>投诉的处理</w:t>
      </w:r>
      <w:r>
        <w:rPr>
          <w:rFonts w:hint="eastAsia" w:ascii="宋体" w:hAnsi="宋体" w:eastAsia="宋体" w:cs="宋体"/>
          <w:bCs/>
          <w:color w:val="000000" w:themeColor="text1"/>
          <w:kern w:val="0"/>
          <w:sz w:val="21"/>
          <w:szCs w:val="21"/>
          <w14:textFill>
            <w14:solidFill>
              <w14:schemeClr w14:val="tx1"/>
            </w14:solidFill>
          </w14:textFill>
        </w:rPr>
        <w:t>情况：</w:t>
      </w:r>
    </w:p>
    <w:p>
      <w:pPr>
        <w:widowControl/>
        <w:spacing w:line="360" w:lineRule="auto"/>
        <w:ind w:firstLine="420" w:firstLineChars="200"/>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企业202</w:t>
      </w:r>
      <w:r>
        <w:rPr>
          <w:rFonts w:hint="eastAsia" w:ascii="宋体" w:hAnsi="宋体" w:eastAsia="宋体" w:cs="宋体"/>
          <w:bCs/>
          <w:color w:val="000000" w:themeColor="text1"/>
          <w:kern w:val="0"/>
          <w:sz w:val="21"/>
          <w:szCs w:val="21"/>
          <w:lang w:val="en-US" w:eastAsia="zh-CN"/>
          <w14:textFill>
            <w14:solidFill>
              <w14:schemeClr w14:val="tx1"/>
            </w14:solidFill>
          </w14:textFill>
        </w:rPr>
        <w:t>1</w:t>
      </w:r>
      <w:r>
        <w:rPr>
          <w:rFonts w:hint="eastAsia" w:ascii="宋体" w:hAnsi="宋体" w:eastAsia="宋体" w:cs="宋体"/>
          <w:bCs/>
          <w:color w:val="000000" w:themeColor="text1"/>
          <w:kern w:val="0"/>
          <w:sz w:val="21"/>
          <w:szCs w:val="21"/>
          <w14:textFill>
            <w14:solidFill>
              <w14:schemeClr w14:val="tx1"/>
            </w14:solidFill>
          </w14:textFill>
        </w:rPr>
        <w:t>年有未有顾客的投诉。</w:t>
      </w:r>
      <w:r>
        <w:rPr>
          <w:rFonts w:hint="eastAsia" w:ascii="宋体" w:hAnsi="宋体" w:eastAsia="宋体" w:cs="宋体"/>
          <w:bCs/>
          <w:color w:val="000000" w:themeColor="text1"/>
          <w:sz w:val="21"/>
          <w:szCs w:val="21"/>
          <w14:textFill>
            <w14:solidFill>
              <w14:schemeClr w14:val="tx1"/>
            </w14:solidFill>
          </w14:textFill>
        </w:rPr>
        <w:t>企业未有</w:t>
      </w:r>
      <w:r>
        <w:rPr>
          <w:rFonts w:hint="eastAsia" w:ascii="宋体" w:hAnsi="宋体" w:eastAsia="宋体" w:cs="宋体"/>
          <w:bCs/>
          <w:color w:val="000000" w:themeColor="text1"/>
          <w:kern w:val="0"/>
          <w:sz w:val="21"/>
          <w:szCs w:val="21"/>
          <w14:textFill>
            <w14:solidFill>
              <w14:schemeClr w14:val="tx1"/>
            </w14:solidFill>
          </w14:textFill>
        </w:rPr>
        <w:t>违反法律、法规问题和产品质量问题的投诉或重大质量事故发生。</w:t>
      </w:r>
    </w:p>
    <w:p>
      <w:pPr>
        <w:widowControl/>
        <w:numPr>
          <w:ilvl w:val="0"/>
          <w:numId w:val="2"/>
        </w:numPr>
        <w:spacing w:line="360" w:lineRule="auto"/>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测量管理体系在实现获证客户目标方面的有效性及持续的运作控制</w:t>
      </w:r>
      <w:r>
        <w:rPr>
          <w:rFonts w:hint="eastAsia" w:ascii="宋体" w:hAnsi="宋体" w:eastAsia="宋体" w:cs="宋体"/>
          <w:bCs/>
          <w:color w:val="000000" w:themeColor="text1"/>
          <w:kern w:val="0"/>
          <w:sz w:val="21"/>
          <w:szCs w:val="21"/>
          <w14:textFill>
            <w14:solidFill>
              <w14:schemeClr w14:val="tx1"/>
            </w14:solidFill>
          </w14:textFill>
        </w:rPr>
        <w:t>情况：</w:t>
      </w:r>
    </w:p>
    <w:p>
      <w:pPr>
        <w:widowControl/>
        <w:spacing w:line="360" w:lineRule="auto"/>
        <w:ind w:firstLine="420" w:firstLineChars="200"/>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公司制定了</w:t>
      </w:r>
      <w:r>
        <w:rPr>
          <w:rFonts w:hint="eastAsia" w:ascii="宋体" w:hAnsi="宋体" w:eastAsia="宋体" w:cs="宋体"/>
          <w:bCs/>
          <w:color w:val="000000" w:themeColor="text1"/>
          <w:sz w:val="21"/>
          <w:szCs w:val="21"/>
          <w:lang w:val="en-US" w:eastAsia="zh-CN"/>
          <w14:textFill>
            <w14:solidFill>
              <w14:schemeClr w14:val="tx1"/>
            </w14:solidFill>
          </w14:textFill>
        </w:rPr>
        <w:t>5</w:t>
      </w:r>
      <w:r>
        <w:rPr>
          <w:rFonts w:hint="eastAsia" w:ascii="宋体" w:hAnsi="宋体" w:eastAsia="宋体" w:cs="宋体"/>
          <w:bCs/>
          <w:color w:val="000000" w:themeColor="text1"/>
          <w:sz w:val="21"/>
          <w:szCs w:val="21"/>
          <w14:textFill>
            <w14:solidFill>
              <w14:schemeClr w14:val="tx1"/>
            </w14:solidFill>
          </w14:textFill>
        </w:rPr>
        <w:t>项质量目标，对目标进行了分解，查2</w:t>
      </w:r>
      <w:r>
        <w:rPr>
          <w:rFonts w:hint="eastAsia" w:ascii="宋体" w:hAnsi="宋体" w:eastAsia="宋体" w:cs="宋体"/>
          <w:bCs/>
          <w:color w:val="000000" w:themeColor="text1"/>
          <w:sz w:val="21"/>
          <w:szCs w:val="21"/>
          <w:lang w:val="en-US" w:eastAsia="zh-CN"/>
          <w14:textFill>
            <w14:solidFill>
              <w14:schemeClr w14:val="tx1"/>
            </w14:solidFill>
          </w14:textFill>
        </w:rPr>
        <w:t>022</w:t>
      </w:r>
      <w:r>
        <w:rPr>
          <w:rFonts w:hint="eastAsia" w:ascii="宋体" w:hAnsi="宋体" w:eastAsia="宋体" w:cs="宋体"/>
          <w:bCs/>
          <w:color w:val="000000" w:themeColor="text1"/>
          <w:sz w:val="21"/>
          <w:szCs w:val="21"/>
          <w14:textFill>
            <w14:solidFill>
              <w14:schemeClr w14:val="tx1"/>
            </w14:solidFill>
          </w14:textFill>
        </w:rPr>
        <w:t>年1月到</w:t>
      </w:r>
      <w:r>
        <w:rPr>
          <w:rFonts w:hint="eastAsia" w:ascii="宋体" w:hAnsi="宋体" w:eastAsia="宋体" w:cs="宋体"/>
          <w:bCs/>
          <w:color w:val="000000" w:themeColor="text1"/>
          <w:sz w:val="21"/>
          <w:szCs w:val="21"/>
          <w:lang w:val="en-US" w:eastAsia="zh-CN"/>
          <w14:textFill>
            <w14:solidFill>
              <w14:schemeClr w14:val="tx1"/>
            </w14:solidFill>
          </w14:textFill>
        </w:rPr>
        <w:t>7</w:t>
      </w:r>
      <w:r>
        <w:rPr>
          <w:rFonts w:hint="eastAsia" w:ascii="宋体" w:hAnsi="宋体" w:eastAsia="宋体" w:cs="宋体"/>
          <w:bCs/>
          <w:color w:val="000000" w:themeColor="text1"/>
          <w:sz w:val="21"/>
          <w:szCs w:val="21"/>
          <w14:textFill>
            <w14:solidFill>
              <w14:schemeClr w14:val="tx1"/>
            </w14:solidFill>
          </w14:textFill>
        </w:rPr>
        <w:t>月质量目标完成情况检查表，按目标、措施、完成情况、未完成情况进行统计，记录内容全，每月统计，质量目标管理满足要求。</w:t>
      </w:r>
    </w:p>
    <w:p>
      <w:pPr>
        <w:widowControl/>
        <w:numPr>
          <w:ilvl w:val="0"/>
          <w:numId w:val="2"/>
        </w:numPr>
        <w:spacing w:line="360" w:lineRule="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对企业组织任何变更的审核</w:t>
      </w:r>
    </w:p>
    <w:p>
      <w:pPr>
        <w:widowControl/>
        <w:spacing w:line="360" w:lineRule="auto"/>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企业营业执照和组织机构未发生变化。</w:t>
      </w:r>
    </w:p>
    <w:p>
      <w:pPr>
        <w:widowControl/>
        <w:numPr>
          <w:ilvl w:val="0"/>
          <w:numId w:val="2"/>
        </w:numPr>
        <w:spacing w:line="360" w:lineRule="auto"/>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标志的使用和（或）任何其他对认证资格引用</w:t>
      </w:r>
      <w:r>
        <w:rPr>
          <w:rFonts w:hint="eastAsia" w:ascii="宋体" w:hAnsi="宋体" w:eastAsia="宋体" w:cs="宋体"/>
          <w:bCs/>
          <w:color w:val="000000" w:themeColor="text1"/>
          <w:kern w:val="0"/>
          <w:sz w:val="21"/>
          <w:szCs w:val="21"/>
          <w14:textFill>
            <w14:solidFill>
              <w14:schemeClr w14:val="tx1"/>
            </w14:solidFill>
          </w14:textFill>
        </w:rPr>
        <w:t>的情况：</w:t>
      </w:r>
    </w:p>
    <w:p>
      <w:pPr>
        <w:widowControl/>
        <w:spacing w:line="360" w:lineRule="auto"/>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 xml:space="preserve"> 用于企业的形象宣传。</w:t>
      </w:r>
    </w:p>
    <w:p>
      <w:pPr>
        <w:widowControl/>
        <w:spacing w:line="360" w:lineRule="auto"/>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10.本次监督审核未出具一般不符合，未发现严重的或系统性的不符合情况：</w:t>
      </w:r>
    </w:p>
    <w:p>
      <w:pPr>
        <w:widowControl/>
        <w:spacing w:line="360" w:lineRule="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11.</w:t>
      </w:r>
      <w:r>
        <w:rPr>
          <w:rFonts w:hint="eastAsia" w:ascii="宋体" w:hAnsi="宋体" w:eastAsia="宋体" w:cs="宋体"/>
          <w:bCs/>
          <w:color w:val="000000" w:themeColor="text1"/>
          <w:sz w:val="21"/>
          <w:szCs w:val="21"/>
          <w14:textFill>
            <w14:solidFill>
              <w14:schemeClr w14:val="tx1"/>
            </w14:solidFill>
          </w14:textFill>
        </w:rPr>
        <w:t>产品的销售</w:t>
      </w:r>
      <w:r>
        <w:rPr>
          <w:rFonts w:hint="eastAsia" w:ascii="宋体" w:hAnsi="宋体" w:eastAsia="宋体" w:cs="宋体"/>
          <w:bCs/>
          <w:color w:val="000000" w:themeColor="text1"/>
          <w:sz w:val="21"/>
          <w:szCs w:val="21"/>
          <w:lang w:val="en-US" w:eastAsia="zh-CN"/>
          <w14:textFill>
            <w14:solidFill>
              <w14:schemeClr w14:val="tx1"/>
            </w14:solidFill>
          </w14:textFill>
        </w:rPr>
        <w:t>情况：</w:t>
      </w:r>
    </w:p>
    <w:p>
      <w:pPr>
        <w:widowControl/>
        <w:spacing w:line="360" w:lineRule="auto"/>
        <w:ind w:firstLine="420" w:firstLineChars="200"/>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抽查</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合同编号20220815-010</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签订时间2022年</w:t>
      </w:r>
      <w:r>
        <w:rPr>
          <w:rFonts w:hint="eastAsia" w:ascii="宋体" w:hAnsi="宋体" w:eastAsia="宋体" w:cs="宋体"/>
          <w:bCs/>
          <w:color w:val="000000" w:themeColor="text1"/>
          <w:sz w:val="21"/>
          <w:szCs w:val="21"/>
          <w:lang w:val="en-US" w:eastAsia="zh-CN"/>
          <w14:textFill>
            <w14:solidFill>
              <w14:schemeClr w14:val="tx1"/>
            </w14:solidFill>
          </w14:textFill>
        </w:rPr>
        <w:t>8</w:t>
      </w:r>
      <w:r>
        <w:rPr>
          <w:rFonts w:hint="eastAsia" w:ascii="宋体" w:hAnsi="宋体" w:eastAsia="宋体" w:cs="宋体"/>
          <w:bCs/>
          <w:color w:val="000000" w:themeColor="text1"/>
          <w:sz w:val="21"/>
          <w:szCs w:val="21"/>
          <w14:textFill>
            <w14:solidFill>
              <w14:schemeClr w14:val="tx1"/>
            </w14:solidFill>
          </w14:textFill>
        </w:rPr>
        <w:t>月15日</w:t>
      </w:r>
      <w:r>
        <w:rPr>
          <w:rFonts w:hint="eastAsia" w:ascii="宋体" w:hAnsi="宋体" w:eastAsia="宋体" w:cs="宋体"/>
          <w:bCs/>
          <w:color w:val="000000" w:themeColor="text1"/>
          <w:sz w:val="21"/>
          <w:szCs w:val="21"/>
          <w:lang w:val="en-US" w:eastAsia="zh-CN"/>
          <w14:textFill>
            <w14:solidFill>
              <w14:schemeClr w14:val="tx1"/>
            </w14:solidFill>
          </w14:textFill>
        </w:rPr>
        <w:t>与</w:t>
      </w:r>
      <w:r>
        <w:rPr>
          <w:rFonts w:hint="eastAsia" w:ascii="宋体" w:hAnsi="宋体" w:eastAsia="宋体" w:cs="宋体"/>
          <w:bCs/>
          <w:color w:val="000000" w:themeColor="text1"/>
          <w:sz w:val="21"/>
          <w:szCs w:val="21"/>
          <w14:textFill>
            <w14:solidFill>
              <w14:schemeClr w14:val="tx1"/>
            </w14:solidFill>
          </w14:textFill>
        </w:rPr>
        <w:t>陕西法士特松正电驱系统股份有限公司</w:t>
      </w:r>
      <w:r>
        <w:rPr>
          <w:rFonts w:hint="eastAsia" w:ascii="宋体" w:hAnsi="宋体" w:eastAsia="宋体" w:cs="宋体"/>
          <w:bCs/>
          <w:color w:val="000000" w:themeColor="text1"/>
          <w:sz w:val="21"/>
          <w:szCs w:val="21"/>
          <w:lang w:val="en-US" w:eastAsia="zh-CN"/>
          <w14:textFill>
            <w14:solidFill>
              <w14:schemeClr w14:val="tx1"/>
            </w14:solidFill>
          </w14:textFill>
        </w:rPr>
        <w:t>签订的转子端板、接线盒盖</w:t>
      </w:r>
      <w:r>
        <w:rPr>
          <w:rFonts w:hint="eastAsia" w:ascii="宋体" w:hAnsi="宋体" w:eastAsia="宋体" w:cs="宋体"/>
          <w:bCs/>
          <w:color w:val="000000" w:themeColor="text1"/>
          <w:sz w:val="21"/>
          <w:szCs w:val="21"/>
          <w14:textFill>
            <w14:solidFill>
              <w14:schemeClr w14:val="tx1"/>
            </w14:solidFill>
          </w14:textFill>
        </w:rPr>
        <w:t>产品的销售合同</w:t>
      </w:r>
      <w:r>
        <w:rPr>
          <w:rFonts w:hint="eastAsia" w:ascii="宋体" w:hAnsi="宋体" w:eastAsia="宋体" w:cs="宋体"/>
          <w:bCs/>
          <w:color w:val="000000" w:themeColor="text1"/>
          <w:sz w:val="21"/>
          <w:szCs w:val="21"/>
          <w:lang w:eastAsia="zh-CN"/>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确认企业对应的产品生产过程涉及有对应的测量过程和测量设备，测量设备的配备可满足该合同产品的生产和检验要求。</w:t>
      </w:r>
    </w:p>
    <w:p>
      <w:pPr>
        <w:snapToGrid w:val="0"/>
        <w:spacing w:line="360" w:lineRule="auto"/>
        <w:ind w:right="-512" w:rightChars="-244"/>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三、监督审核结论意见</w:t>
      </w:r>
      <w:r>
        <w:rPr>
          <w:rFonts w:hint="eastAsia" w:ascii="宋体" w:hAnsi="宋体" w:eastAsia="宋体" w:cs="宋体"/>
          <w:bCs/>
          <w:color w:val="000000" w:themeColor="text1"/>
          <w:kern w:val="0"/>
          <w:sz w:val="21"/>
          <w:szCs w:val="21"/>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含需要说明的事项):</w:t>
      </w:r>
    </w:p>
    <w:p>
      <w:pPr>
        <w:snapToGrid w:val="0"/>
        <w:spacing w:line="360" w:lineRule="auto"/>
        <w:ind w:right="-512" w:rightChars="-244" w:firstLine="420" w:firstLineChars="200"/>
        <w:rPr>
          <w:rFonts w:hint="eastAsia" w:ascii="宋体" w:hAnsi="宋体" w:eastAsia="宋体" w:cs="宋体"/>
          <w:color w:val="000000" w:themeColor="text1"/>
          <w:sz w:val="21"/>
          <w:szCs w:val="21"/>
          <w14:textFill>
            <w14:solidFill>
              <w14:schemeClr w14:val="tx1"/>
            </w14:solidFill>
          </w14:textFill>
        </w:rPr>
      </w:pPr>
      <w:r>
        <w:rPr>
          <w:rStyle w:val="11"/>
          <w:rFonts w:hint="eastAsia" w:ascii="宋体" w:hAnsi="宋体" w:eastAsia="宋体" w:cs="宋体"/>
          <w:color w:val="000000" w:themeColor="text1"/>
          <w:sz w:val="21"/>
          <w:szCs w:val="21"/>
          <w14:textFill>
            <w14:solidFill>
              <w14:schemeClr w14:val="tx1"/>
            </w14:solidFill>
          </w14:textFill>
        </w:rPr>
        <w:t>通过20</w:t>
      </w:r>
      <w:r>
        <w:rPr>
          <w:rStyle w:val="11"/>
          <w:rFonts w:hint="eastAsia" w:ascii="宋体" w:hAnsi="宋体" w:eastAsia="宋体" w:cs="宋体"/>
          <w:color w:val="000000" w:themeColor="text1"/>
          <w:sz w:val="21"/>
          <w:szCs w:val="21"/>
          <w:lang w:val="en-US" w:eastAsia="zh-CN"/>
          <w14:textFill>
            <w14:solidFill>
              <w14:schemeClr w14:val="tx1"/>
            </w14:solidFill>
          </w14:textFill>
        </w:rPr>
        <w:t>22</w:t>
      </w:r>
      <w:r>
        <w:rPr>
          <w:rStyle w:val="11"/>
          <w:rFonts w:hint="eastAsia" w:ascii="宋体" w:hAnsi="宋体" w:eastAsia="宋体" w:cs="宋体"/>
          <w:color w:val="000000" w:themeColor="text1"/>
          <w:sz w:val="21"/>
          <w:szCs w:val="21"/>
          <w14:textFill>
            <w14:solidFill>
              <w14:schemeClr w14:val="tx1"/>
            </w14:solidFill>
          </w14:textFill>
        </w:rPr>
        <w:t>年</w:t>
      </w:r>
      <w:r>
        <w:rPr>
          <w:rStyle w:val="11"/>
          <w:rFonts w:hint="eastAsia" w:ascii="宋体" w:hAnsi="宋体" w:eastAsia="宋体" w:cs="宋体"/>
          <w:color w:val="000000" w:themeColor="text1"/>
          <w:sz w:val="21"/>
          <w:szCs w:val="21"/>
          <w:lang w:val="en-US" w:eastAsia="zh-CN"/>
          <w14:textFill>
            <w14:solidFill>
              <w14:schemeClr w14:val="tx1"/>
            </w14:solidFill>
          </w14:textFill>
        </w:rPr>
        <w:t>8</w:t>
      </w:r>
      <w:r>
        <w:rPr>
          <w:rStyle w:val="11"/>
          <w:rFonts w:hint="eastAsia" w:ascii="宋体" w:hAnsi="宋体" w:eastAsia="宋体" w:cs="宋体"/>
          <w:color w:val="000000" w:themeColor="text1"/>
          <w:sz w:val="21"/>
          <w:szCs w:val="21"/>
          <w14:textFill>
            <w14:solidFill>
              <w14:schemeClr w14:val="tx1"/>
            </w14:solidFill>
          </w14:textFill>
        </w:rPr>
        <w:t>月</w:t>
      </w:r>
      <w:r>
        <w:rPr>
          <w:rStyle w:val="11"/>
          <w:rFonts w:hint="eastAsia" w:ascii="宋体" w:hAnsi="宋体" w:eastAsia="宋体" w:cs="宋体"/>
          <w:color w:val="000000" w:themeColor="text1"/>
          <w:sz w:val="21"/>
          <w:szCs w:val="21"/>
          <w:lang w:val="en-US" w:eastAsia="zh-CN"/>
          <w14:textFill>
            <w14:solidFill>
              <w14:schemeClr w14:val="tx1"/>
            </w14:solidFill>
          </w14:textFill>
        </w:rPr>
        <w:t>22</w:t>
      </w:r>
      <w:r>
        <w:rPr>
          <w:rStyle w:val="11"/>
          <w:rFonts w:hint="eastAsia" w:ascii="宋体" w:hAnsi="宋体" w:eastAsia="宋体" w:cs="宋体"/>
          <w:color w:val="000000" w:themeColor="text1"/>
          <w:sz w:val="21"/>
          <w:szCs w:val="21"/>
          <w14:textFill>
            <w14:solidFill>
              <w14:schemeClr w14:val="tx1"/>
            </w14:solidFill>
          </w14:textFill>
        </w:rPr>
        <w:t>日，对</w:t>
      </w:r>
      <w:r>
        <w:rPr>
          <w:rFonts w:hint="eastAsia" w:ascii="宋体" w:hAnsi="宋体" w:eastAsia="宋体" w:cs="宋体"/>
          <w:color w:val="000000" w:themeColor="text1"/>
          <w:kern w:val="0"/>
          <w:sz w:val="21"/>
          <w:szCs w:val="21"/>
          <w14:textFill>
            <w14:solidFill>
              <w14:schemeClr w14:val="tx1"/>
            </w14:solidFill>
          </w14:textFill>
        </w:rPr>
        <w:t>西安标准精密机械有限公司</w:t>
      </w:r>
      <w:r>
        <w:rPr>
          <w:rStyle w:val="11"/>
          <w:rFonts w:hint="eastAsia" w:ascii="宋体" w:hAnsi="宋体" w:eastAsia="宋体" w:cs="宋体"/>
          <w:color w:val="000000" w:themeColor="text1"/>
          <w:sz w:val="21"/>
          <w:szCs w:val="21"/>
          <w14:textFill>
            <w14:solidFill>
              <w14:schemeClr w14:val="tx1"/>
            </w14:solidFill>
          </w14:textFill>
        </w:rPr>
        <w:t>监督审核</w:t>
      </w:r>
      <w:r>
        <w:rPr>
          <w:rFonts w:hint="eastAsia" w:ascii="宋体" w:hAnsi="宋体" w:eastAsia="宋体" w:cs="宋体"/>
          <w:bCs/>
          <w:color w:val="000000" w:themeColor="text1"/>
          <w:sz w:val="21"/>
          <w:szCs w:val="21"/>
          <w14:textFill>
            <w14:solidFill>
              <w14:schemeClr w14:val="tx1"/>
            </w14:solidFill>
          </w14:textFill>
        </w:rPr>
        <w:t>.验证了公司在去年一年内，测量管理体系运作情况，</w:t>
      </w:r>
      <w:r>
        <w:rPr>
          <w:rFonts w:hint="eastAsia" w:ascii="宋体" w:hAnsi="宋体" w:eastAsia="宋体" w:cs="宋体"/>
          <w:color w:val="000000" w:themeColor="text1"/>
          <w:sz w:val="21"/>
          <w:szCs w:val="21"/>
          <w14:textFill>
            <w14:solidFill>
              <w14:schemeClr w14:val="tx1"/>
            </w14:solidFill>
          </w14:textFill>
        </w:rPr>
        <w:t>公司领导重视体系运行和管理，体系文件得到有效实施，企业管理规范，</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测量过程受控、监视方法正确有效，重要测量人员能力受控，测量设备、测量环境、测量软件、测量记录及外部供方管理等各项工作。综上所述，审核组认为</w:t>
      </w:r>
      <w:r>
        <w:rPr>
          <w:rFonts w:hint="eastAsia" w:ascii="宋体" w:hAnsi="宋体" w:eastAsia="宋体" w:cs="宋体"/>
          <w:color w:val="000000" w:themeColor="text1"/>
          <w:kern w:val="0"/>
          <w:sz w:val="21"/>
          <w:szCs w:val="21"/>
          <w14:textFill>
            <w14:solidFill>
              <w14:schemeClr w14:val="tx1"/>
            </w14:solidFill>
          </w14:textFill>
        </w:rPr>
        <w:t>西安标准精密机械有限公司</w:t>
      </w:r>
      <w:r>
        <w:rPr>
          <w:rFonts w:hint="eastAsia" w:ascii="宋体" w:hAnsi="宋体" w:eastAsia="宋体" w:cs="宋体"/>
          <w:color w:val="000000" w:themeColor="text1"/>
          <w:sz w:val="21"/>
          <w:szCs w:val="21"/>
          <w14:textFill>
            <w14:solidFill>
              <w14:schemeClr w14:val="tx1"/>
            </w14:solidFill>
          </w14:textFill>
        </w:rPr>
        <w:t>测量管理体系，符合GB/T 19022-2003标准要求，对体系运行具有持续的有效性、符合性予以肯定。建议报请北京国标联合认证有限公司批准通过监督审核。</w:t>
      </w:r>
    </w:p>
    <w:p>
      <w:pPr>
        <w:widowControl/>
        <w:spacing w:line="360" w:lineRule="auto"/>
        <w:rPr>
          <w:rFonts w:hint="eastAsia" w:ascii="宋体" w:hAnsi="宋体" w:eastAsia="宋体" w:cs="宋体"/>
          <w:b/>
          <w:bCs/>
          <w:color w:val="000000" w:themeColor="text1"/>
          <w:kern w:val="0"/>
          <w:sz w:val="21"/>
          <w:szCs w:val="21"/>
          <w14:textFill>
            <w14:solidFill>
              <w14:schemeClr w14:val="tx1"/>
            </w14:solidFill>
          </w14:textFill>
        </w:rPr>
      </w:pPr>
    </w:p>
    <w:p>
      <w:pPr>
        <w:widowControl/>
        <w:spacing w:line="360" w:lineRule="auto"/>
        <w:jc w:val="left"/>
        <w:rPr>
          <w:rFonts w:hint="eastAsia" w:ascii="宋体" w:hAnsi="宋体" w:eastAsia="宋体" w:cs="宋体"/>
          <w:color w:val="000000" w:themeColor="text1"/>
          <w:kern w:val="0"/>
          <w:sz w:val="21"/>
          <w:szCs w:val="21"/>
          <w14:textFill>
            <w14:solidFill>
              <w14:schemeClr w14:val="tx1"/>
            </w14:solidFill>
          </w14:textFill>
        </w:rPr>
      </w:pPr>
      <w:bookmarkStart w:id="11" w:name="_GoBack"/>
      <w:bookmarkEnd w:id="11"/>
    </w:p>
    <w:p>
      <w:pPr>
        <w:widowControl/>
        <w:spacing w:line="360" w:lineRule="auto"/>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1474470</wp:posOffset>
            </wp:positionH>
            <wp:positionV relativeFrom="paragraph">
              <wp:posOffset>33020</wp:posOffset>
            </wp:positionV>
            <wp:extent cx="381635" cy="293370"/>
            <wp:effectExtent l="0" t="0" r="12065" b="1143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381635" cy="293370"/>
                    </a:xfrm>
                    <a:prstGeom prst="rect">
                      <a:avLst/>
                    </a:prstGeom>
                  </pic:spPr>
                </pic:pic>
              </a:graphicData>
            </a:graphic>
          </wp:anchor>
        </w:drawing>
      </w:r>
      <w:r>
        <w:rPr>
          <w:rFonts w:hint="eastAsia" w:ascii="宋体" w:hAnsi="宋体" w:eastAsia="宋体" w:cs="宋体"/>
          <w:color w:val="000000" w:themeColor="text1"/>
          <w:kern w:val="0"/>
          <w:sz w:val="21"/>
          <w:szCs w:val="21"/>
          <w14:textFill>
            <w14:solidFill>
              <w14:schemeClr w14:val="tx1"/>
            </w14:solidFill>
          </w14:textFill>
        </w:rPr>
        <w:t>审核组组长（签字）：                                 日 期：</w:t>
      </w:r>
      <w:r>
        <w:rPr>
          <w:rFonts w:hint="eastAsia" w:ascii="宋体" w:hAnsi="宋体" w:eastAsia="宋体" w:cs="宋体"/>
          <w:color w:val="000000" w:themeColor="text1"/>
          <w:kern w:val="0"/>
          <w:sz w:val="21"/>
          <w:szCs w:val="21"/>
          <w:lang w:val="en-US" w:eastAsia="zh-CN"/>
          <w14:textFill>
            <w14:solidFill>
              <w14:schemeClr w14:val="tx1"/>
            </w14:solidFill>
          </w14:textFill>
        </w:rPr>
        <w:t>2022.8.22</w:t>
      </w:r>
    </w:p>
    <w:p>
      <w:pPr>
        <w:widowControl/>
        <w:spacing w:line="360" w:lineRule="auto"/>
        <w:jc w:val="left"/>
        <w:rPr>
          <w:rFonts w:hint="eastAsia" w:ascii="宋体" w:hAnsi="宋体" w:eastAsia="宋体" w:cs="宋体"/>
          <w:color w:val="000000" w:themeColor="text1"/>
          <w:kern w:val="0"/>
          <w:sz w:val="21"/>
          <w:szCs w:val="21"/>
          <w14:textFill>
            <w14:solidFill>
              <w14:schemeClr w14:val="tx1"/>
            </w14:solidFill>
          </w14:textFill>
        </w:rPr>
      </w:pPr>
    </w:p>
    <w:p>
      <w:pPr>
        <w:widowControl/>
        <w:spacing w:line="360" w:lineRule="auto"/>
        <w:ind w:right="945"/>
        <w:jc w:val="left"/>
        <w:rPr>
          <w:rFonts w:hint="eastAsia" w:ascii="宋体" w:hAnsi="宋体" w:eastAsia="宋体" w:cs="宋体"/>
          <w:color w:val="000000" w:themeColor="text1"/>
          <w:kern w:val="0"/>
          <w:sz w:val="21"/>
          <w:szCs w:val="21"/>
          <w14:textFill>
            <w14:solidFill>
              <w14:schemeClr w14:val="tx1"/>
            </w14:solidFill>
          </w14:textFill>
        </w:rPr>
      </w:pPr>
    </w:p>
    <w:p>
      <w:pPr>
        <w:widowControl/>
        <w:spacing w:line="360" w:lineRule="auto"/>
        <w:ind w:right="1050"/>
        <w:rPr>
          <w:rFonts w:hint="eastAsia" w:ascii="宋体" w:hAnsi="宋体" w:eastAsia="宋体" w:cs="宋体"/>
          <w:b/>
          <w:bCs/>
          <w:color w:val="000000" w:themeColor="text1"/>
          <w:kern w:val="0"/>
          <w:sz w:val="21"/>
          <w:szCs w:val="21"/>
          <w14:textFill>
            <w14:solidFill>
              <w14:schemeClr w14:val="tx1"/>
            </w14:solidFill>
          </w14:textFill>
        </w:rPr>
      </w:pPr>
    </w:p>
    <w:p>
      <w:pPr>
        <w:widowControl/>
        <w:spacing w:line="36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abstractNum w:abstractNumId="1">
    <w:nsid w:val="45438D68"/>
    <w:multiLevelType w:val="singleLevel"/>
    <w:tmpl w:val="45438D68"/>
    <w:lvl w:ilvl="0" w:tentative="0">
      <w:start w:val="5"/>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5D6A10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TotalTime>
  <ScaleCrop>false</ScaleCrop>
  <LinksUpToDate>false</LinksUpToDate>
  <CharactersWithSpaces>2163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2022-08-22T05:12:33Z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35B7553E6356429196C0B17C6314CE3B</vt:lpwstr>
  </property>
</Properties>
</file>