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0585-2022-EnMS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江苏米格电气集团股份有限公司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江苏米格电气集团股份有限公司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宜兴市新街街道绿园路489号57幢</w:t>
            </w:r>
            <w:bookmarkEnd w:id="6"/>
          </w:p>
        </w:tc>
        <w:tc>
          <w:tcPr>
            <w:tcW w:w="1242" w:type="dxa"/>
            <w:vMerge w:val="restart"/>
            <w:vAlign w:val="center"/>
          </w:tcPr>
          <w:p>
            <w:r>
              <w:rPr>
                <w:rFonts w:hint="eastAsia"/>
              </w:rPr>
              <w:t>邮编</w:t>
            </w:r>
          </w:p>
        </w:tc>
        <w:tc>
          <w:tcPr>
            <w:tcW w:w="1771" w:type="dxa"/>
          </w:tcPr>
          <w:p>
            <w:bookmarkStart w:id="7" w:name="注册邮编"/>
            <w:r>
              <w:t>214200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江苏省宜兴市岳南路88号</w:t>
            </w:r>
            <w:bookmarkEnd w:id="8"/>
          </w:p>
        </w:tc>
        <w:tc>
          <w:tcPr>
            <w:tcW w:w="1242" w:type="dxa"/>
            <w:vMerge w:val="continue"/>
            <w:vAlign w:val="center"/>
          </w:tcPr>
          <w:p/>
        </w:tc>
        <w:tc>
          <w:tcPr>
            <w:tcW w:w="1771" w:type="dxa"/>
          </w:tcPr>
          <w:p>
            <w:bookmarkStart w:id="9" w:name="办公邮编"/>
            <w:r>
              <w:t>214200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唐卫兵</w:t>
            </w:r>
            <w:bookmarkEnd w:id="10"/>
          </w:p>
        </w:tc>
        <w:tc>
          <w:tcPr>
            <w:tcW w:w="1313" w:type="dxa"/>
            <w:vAlign w:val="center"/>
          </w:tcPr>
          <w:p>
            <w:r>
              <w:rPr>
                <w:rFonts w:hint="eastAsia"/>
              </w:rPr>
              <w:t>电话.</w:t>
            </w:r>
          </w:p>
        </w:tc>
        <w:tc>
          <w:tcPr>
            <w:tcW w:w="2180" w:type="dxa"/>
            <w:vAlign w:val="center"/>
          </w:tcPr>
          <w:p>
            <w:bookmarkStart w:id="11" w:name="联系人电话"/>
            <w:r>
              <w:t>0510-80711055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潘菊年</w:t>
            </w:r>
            <w:bookmarkEnd w:id="13"/>
          </w:p>
        </w:tc>
        <w:tc>
          <w:tcPr>
            <w:tcW w:w="1313" w:type="dxa"/>
            <w:vAlign w:val="center"/>
          </w:tcPr>
          <w:p>
            <w:r>
              <w:rPr>
                <w:rFonts w:hint="eastAsia"/>
              </w:rPr>
              <w:t>管理者代表</w:t>
            </w:r>
          </w:p>
        </w:tc>
        <w:tc>
          <w:tcPr>
            <w:tcW w:w="2180" w:type="dxa"/>
          </w:tcPr>
          <w:p>
            <w:bookmarkStart w:id="14" w:name="管理者代表"/>
            <w:r>
              <w:t>唐卫兵</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受审核组织的班次：□单班</w:t>
            </w:r>
            <w:r>
              <w:rPr>
                <w:rFonts w:hint="eastAsia"/>
              </w:rPr>
              <w:sym w:font="Wingdings 2" w:char="0052"/>
            </w:r>
            <w:r>
              <w:rPr>
                <w:rFonts w:hint="eastAsia"/>
              </w:rPr>
              <w:t>双班□三班□其他</w:t>
            </w:r>
          </w:p>
          <w:p>
            <w:r>
              <w:rPr>
                <w:rFonts w:hint="eastAsia"/>
                <w:highlight w:val="none"/>
                <w:shd w:val="clear"/>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lang w:val="en-US" w:eastAsia="zh-CN"/>
              </w:rPr>
            </w:pPr>
            <w:r>
              <w:rPr>
                <w:rFonts w:hint="eastAsia"/>
                <w:color w:val="000000"/>
              </w:rPr>
              <w:t>生产/服务流程图：</w:t>
            </w:r>
            <w:r>
              <w:rPr>
                <w:rFonts w:hint="eastAsia"/>
                <w:color w:val="000000"/>
                <w:lang w:val="en-US" w:eastAsia="zh-CN"/>
              </w:rPr>
              <w:t xml:space="preserve">   </w:t>
            </w:r>
          </w:p>
          <w:p>
            <w:r>
              <w:rPr>
                <w:rFonts w:hint="eastAsia"/>
                <w:color w:val="000000"/>
                <w:lang w:val="en-US" w:eastAsia="zh-CN"/>
              </w:rPr>
              <w:t xml:space="preserve">激光切割--冲压--折弯--焊接--骨架装配--主母线加工--元器件安装--布线--成品检验--包装入库   </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2022年08月2</w:t>
            </w:r>
            <w:r>
              <w:rPr>
                <w:rFonts w:hint="eastAsia"/>
                <w:lang w:val="en-US" w:eastAsia="zh-CN"/>
              </w:rPr>
              <w:t>4</w:t>
            </w:r>
            <w:r>
              <w:rPr>
                <w:rFonts w:hint="eastAsia"/>
              </w:rPr>
              <w:t>日 下午至2022年08月2</w:t>
            </w:r>
            <w:r>
              <w:rPr>
                <w:rFonts w:hint="eastAsia"/>
                <w:lang w:val="en-US" w:eastAsia="zh-CN"/>
              </w:rPr>
              <w:t>6</w:t>
            </w:r>
            <w:r>
              <w:rPr>
                <w:rFonts w:hint="eastAsia"/>
              </w:rPr>
              <w:t xml:space="preserve">日 </w:t>
            </w:r>
            <w:r>
              <w:rPr>
                <w:rFonts w:hint="eastAsia"/>
                <w:lang w:val="en-US" w:eastAsia="zh-CN"/>
              </w:rPr>
              <w:t>上</w:t>
            </w:r>
            <w:r>
              <w:rPr>
                <w:rFonts w:hint="eastAsia"/>
              </w:rPr>
              <w:t>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r>
              <w:rPr>
                <w:rFonts w:hint="eastAsia"/>
                <w:lang w:val="de-DE"/>
              </w:rPr>
              <w:sym w:font="Wingdings 2" w:char="0052"/>
            </w:r>
            <w:r>
              <w:rPr>
                <w:rFonts w:hint="eastAsia"/>
                <w:lang w:val="de-DE"/>
              </w:rPr>
              <w:t>RB/T</w:t>
            </w:r>
            <w:r>
              <w:rPr>
                <w:rFonts w:hint="eastAsia"/>
                <w:lang w:val="en-US" w:eastAsia="zh-CN"/>
              </w:rPr>
              <w:t>101-2013</w:t>
            </w:r>
            <w:r>
              <w:rPr>
                <w:rFonts w:hint="eastAsia"/>
                <w:lang w:val="de-DE"/>
              </w:rPr>
              <w:t xml:space="preserve">       </w:t>
            </w:r>
            <w:r>
              <w:rPr>
                <w:rFonts w:hint="eastAsia"/>
              </w:rPr>
              <w:t>(</w:t>
            </w:r>
            <w:r>
              <w:rPr>
                <w:rFonts w:hint="eastAsia"/>
                <w:lang w:val="de-DE"/>
              </w:rPr>
              <w:t>行业认证标准</w:t>
            </w:r>
            <w:r>
              <w:rPr>
                <w:rFonts w:hint="eastAsia"/>
              </w:rPr>
              <w:t>)</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江苏省宜兴市岳南路88号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rPr>
                <w:rFonts w:hint="eastAsia"/>
                <w:lang w:val="en-US" w:eastAsia="zh-CN"/>
              </w:rPr>
              <w:t>资质</w:t>
            </w:r>
            <w:r>
              <w:t>范围内高低压开关、配电终端及成套设备的研发和组装所涉及场所的相关能源管理活动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2.10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17"/>
        <w:gridCol w:w="1145"/>
        <w:gridCol w:w="1428"/>
        <w:gridCol w:w="2382"/>
        <w:gridCol w:w="170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917" w:type="dxa"/>
            <w:shd w:val="clear" w:color="auto" w:fill="F3F3F3"/>
            <w:tcMar>
              <w:left w:w="57" w:type="dxa"/>
              <w:right w:w="57" w:type="dxa"/>
            </w:tcMar>
          </w:tcPr>
          <w:p>
            <w:r>
              <w:rPr>
                <w:rFonts w:hint="eastAsia"/>
              </w:rPr>
              <w:t>组织名称及注册场所地址</w:t>
            </w:r>
          </w:p>
        </w:tc>
        <w:tc>
          <w:tcPr>
            <w:tcW w:w="1145" w:type="dxa"/>
            <w:shd w:val="clear" w:color="auto" w:fill="F3F3F3"/>
            <w:tcMar>
              <w:left w:w="57" w:type="dxa"/>
              <w:right w:w="57" w:type="dxa"/>
            </w:tcMar>
          </w:tcPr>
          <w:p>
            <w:r>
              <w:rPr>
                <w:rFonts w:hint="eastAsia"/>
              </w:rPr>
              <w:t>经营场所的地址</w:t>
            </w:r>
          </w:p>
          <w:p>
            <w:r>
              <w:rPr>
                <w:rFonts w:hint="eastAsia"/>
              </w:rPr>
              <w:t>（多现场和临时现场）</w:t>
            </w:r>
          </w:p>
        </w:tc>
        <w:tc>
          <w:tcPr>
            <w:tcW w:w="1428" w:type="dxa"/>
            <w:shd w:val="clear" w:color="auto" w:fill="F3F3F3"/>
            <w:tcMar>
              <w:left w:w="57" w:type="dxa"/>
              <w:right w:w="57" w:type="dxa"/>
            </w:tcMar>
          </w:tcPr>
          <w:p>
            <w:r>
              <w:rPr>
                <w:rFonts w:hint="eastAsia"/>
              </w:rPr>
              <w:t>员工人数</w:t>
            </w:r>
          </w:p>
        </w:tc>
        <w:tc>
          <w:tcPr>
            <w:tcW w:w="2382"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70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917" w:type="dxa"/>
            <w:vAlign w:val="top"/>
          </w:tcPr>
          <w:p>
            <w:pPr>
              <w:spacing w:before="40" w:after="40"/>
              <w:rPr>
                <w:rFonts w:hint="eastAsia" w:ascii="Times New Roman" w:hAnsi="Times New Roman" w:eastAsia="宋体" w:cs="Times New Roman"/>
                <w:kern w:val="2"/>
                <w:sz w:val="21"/>
                <w:szCs w:val="21"/>
                <w:lang w:val="de-DE" w:eastAsia="ja-JP" w:bidi="ar-SA"/>
              </w:rPr>
            </w:pPr>
            <w:r>
              <w:rPr>
                <w:rFonts w:hint="eastAsia" w:ascii="宋体" w:hAnsi="宋体" w:cs="宋体"/>
                <w:color w:val="000000"/>
                <w:kern w:val="0"/>
                <w:szCs w:val="21"/>
              </w:rPr>
              <w:t>江苏米格电气集团股份有限公司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宜兴市新街街道绿园路489号57幢</w:t>
            </w:r>
          </w:p>
        </w:tc>
        <w:tc>
          <w:tcPr>
            <w:tcW w:w="1145"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江苏省宜兴市岳南路88号</w:t>
            </w:r>
          </w:p>
        </w:tc>
        <w:tc>
          <w:tcPr>
            <w:tcW w:w="1428" w:type="dxa"/>
            <w:vAlign w:val="center"/>
          </w:tcPr>
          <w:p>
            <w:pPr>
              <w:spacing w:before="40" w:after="40"/>
              <w:rPr>
                <w:rFonts w:hint="eastAsia" w:ascii="宋体" w:hAnsi="宋体" w:eastAsia="Times New Roman" w:cs="宋体"/>
                <w:color w:val="000000"/>
                <w:kern w:val="0"/>
                <w:sz w:val="20"/>
                <w:szCs w:val="21"/>
                <w:lang w:val="en-US" w:eastAsia="zh-CN" w:bidi="ar-SA"/>
              </w:rPr>
            </w:pPr>
            <w:r>
              <w:rPr>
                <w:rFonts w:hint="eastAsia" w:ascii="宋体" w:hAnsi="宋体" w:eastAsia="Times New Roman" w:cs="宋体"/>
                <w:color w:val="000000"/>
                <w:kern w:val="0"/>
                <w:sz w:val="20"/>
                <w:szCs w:val="21"/>
                <w:lang w:val="en-US" w:eastAsia="zh-CN" w:bidi="ar-SA"/>
              </w:rPr>
              <w:t>总人数180人</w:t>
            </w:r>
          </w:p>
          <w:p>
            <w:pPr>
              <w:spacing w:before="40" w:after="40"/>
              <w:rPr>
                <w:rFonts w:hint="default" w:ascii="Times New Roman" w:hAnsi="Times New Roman" w:eastAsia="黑体" w:cs="Times New Roman"/>
                <w:kern w:val="2"/>
                <w:sz w:val="21"/>
                <w:szCs w:val="21"/>
                <w:lang w:val="en-US" w:eastAsia="ja-JP" w:bidi="ar-SA"/>
              </w:rPr>
            </w:pPr>
            <w:r>
              <w:rPr>
                <w:rFonts w:hint="eastAsia" w:ascii="宋体" w:hAnsi="宋体" w:eastAsia="Times New Roman" w:cs="宋体"/>
                <w:color w:val="000000"/>
                <w:kern w:val="0"/>
                <w:sz w:val="20"/>
                <w:szCs w:val="21"/>
                <w:lang w:val="en-US" w:eastAsia="zh-CN" w:bidi="ar-SA"/>
              </w:rPr>
              <w:t>能源体系65人</w:t>
            </w:r>
          </w:p>
        </w:tc>
        <w:tc>
          <w:tcPr>
            <w:tcW w:w="2382" w:type="dxa"/>
            <w:vAlign w:val="center"/>
          </w:tcPr>
          <w:p>
            <w:pPr>
              <w:pStyle w:val="20"/>
              <w:rPr>
                <w:rFonts w:hint="eastAsia" w:ascii="Times New Roman" w:hAnsi="Times New Roman" w:eastAsia="宋体" w:cs="Arial"/>
                <w:kern w:val="2"/>
                <w:sz w:val="21"/>
                <w:szCs w:val="21"/>
                <w:lang w:val="en-US" w:eastAsia="ja-JP" w:bidi="ar-SA"/>
              </w:rPr>
            </w:pPr>
            <w:r>
              <w:rPr>
                <w:rFonts w:hint="eastAsia" w:ascii="宋体" w:hAnsi="宋体" w:eastAsia="宋体" w:cs="宋体"/>
                <w:color w:val="000000"/>
                <w:kern w:val="0"/>
                <w:szCs w:val="21"/>
                <w:lang w:val="en-US" w:eastAsia="zh-CN"/>
              </w:rPr>
              <w:t>资质</w:t>
            </w:r>
            <w:r>
              <w:rPr>
                <w:rFonts w:hint="eastAsia" w:ascii="宋体" w:hAnsi="宋体" w:cs="宋体"/>
                <w:color w:val="000000"/>
                <w:kern w:val="0"/>
                <w:szCs w:val="21"/>
              </w:rPr>
              <w:t>范围内高低压开关、配电终端及成套设备的研发和组装所涉及场所的相关能源管理活动</w:t>
            </w:r>
          </w:p>
        </w:tc>
        <w:tc>
          <w:tcPr>
            <w:tcW w:w="1705"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RB/T101-2013</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917" w:type="dxa"/>
            <w:vAlign w:val="center"/>
          </w:tcPr>
          <w:p>
            <w:pPr>
              <w:rPr>
                <w:lang w:eastAsia="ja-JP"/>
              </w:rPr>
            </w:pPr>
          </w:p>
        </w:tc>
        <w:tc>
          <w:tcPr>
            <w:tcW w:w="1145" w:type="dxa"/>
            <w:vAlign w:val="center"/>
          </w:tcPr>
          <w:p>
            <w:pPr>
              <w:rPr>
                <w:lang w:eastAsia="ja-JP"/>
              </w:rPr>
            </w:pPr>
          </w:p>
        </w:tc>
        <w:tc>
          <w:tcPr>
            <w:tcW w:w="1428" w:type="dxa"/>
            <w:vAlign w:val="center"/>
          </w:tcPr>
          <w:p>
            <w:pPr>
              <w:rPr>
                <w:lang w:eastAsia="ja-JP"/>
              </w:rPr>
            </w:pPr>
          </w:p>
        </w:tc>
        <w:tc>
          <w:tcPr>
            <w:tcW w:w="2382" w:type="dxa"/>
            <w:vAlign w:val="center"/>
          </w:tcPr>
          <w:p>
            <w:pPr>
              <w:rPr>
                <w:lang w:eastAsia="ja-JP"/>
              </w:rPr>
            </w:pPr>
          </w:p>
        </w:tc>
        <w:tc>
          <w:tcPr>
            <w:tcW w:w="170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917" w:type="dxa"/>
            <w:vAlign w:val="center"/>
          </w:tcPr>
          <w:p>
            <w:pPr>
              <w:rPr>
                <w:lang w:eastAsia="ja-JP"/>
              </w:rPr>
            </w:pPr>
          </w:p>
        </w:tc>
        <w:tc>
          <w:tcPr>
            <w:tcW w:w="1145" w:type="dxa"/>
            <w:vAlign w:val="center"/>
          </w:tcPr>
          <w:p>
            <w:pPr>
              <w:rPr>
                <w:lang w:eastAsia="ja-JP"/>
              </w:rPr>
            </w:pPr>
          </w:p>
        </w:tc>
        <w:tc>
          <w:tcPr>
            <w:tcW w:w="1428" w:type="dxa"/>
            <w:vAlign w:val="center"/>
          </w:tcPr>
          <w:p>
            <w:pPr>
              <w:rPr>
                <w:lang w:eastAsia="ja-JP"/>
              </w:rPr>
            </w:pPr>
          </w:p>
        </w:tc>
        <w:tc>
          <w:tcPr>
            <w:tcW w:w="2382" w:type="dxa"/>
            <w:vAlign w:val="center"/>
          </w:tcPr>
          <w:p>
            <w:pPr>
              <w:rPr>
                <w:lang w:eastAsia="ja-JP"/>
              </w:rPr>
            </w:pPr>
          </w:p>
        </w:tc>
        <w:tc>
          <w:tcPr>
            <w:tcW w:w="170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1917" w:type="dxa"/>
            <w:vAlign w:val="center"/>
          </w:tcPr>
          <w:p>
            <w:pPr>
              <w:rPr>
                <w:lang w:eastAsia="ja-JP"/>
              </w:rPr>
            </w:pPr>
          </w:p>
        </w:tc>
        <w:tc>
          <w:tcPr>
            <w:tcW w:w="1145" w:type="dxa"/>
            <w:vAlign w:val="center"/>
          </w:tcPr>
          <w:p>
            <w:pPr>
              <w:rPr>
                <w:lang w:eastAsia="ja-JP"/>
              </w:rPr>
            </w:pPr>
          </w:p>
        </w:tc>
        <w:tc>
          <w:tcPr>
            <w:tcW w:w="1428" w:type="dxa"/>
            <w:vAlign w:val="center"/>
          </w:tcPr>
          <w:p>
            <w:pPr>
              <w:rPr>
                <w:lang w:eastAsia="ja-JP"/>
              </w:rPr>
            </w:pPr>
          </w:p>
        </w:tc>
        <w:tc>
          <w:tcPr>
            <w:tcW w:w="2382" w:type="dxa"/>
            <w:vAlign w:val="center"/>
          </w:tcPr>
          <w:p>
            <w:pPr>
              <w:rPr>
                <w:lang w:eastAsia="ja-JP"/>
              </w:rPr>
            </w:pPr>
          </w:p>
        </w:tc>
        <w:tc>
          <w:tcPr>
            <w:tcW w:w="170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917" w:type="dxa"/>
            <w:vAlign w:val="center"/>
          </w:tcPr>
          <w:p>
            <w:pPr>
              <w:rPr>
                <w:lang w:eastAsia="ja-JP"/>
              </w:rPr>
            </w:pPr>
          </w:p>
        </w:tc>
        <w:tc>
          <w:tcPr>
            <w:tcW w:w="1145" w:type="dxa"/>
            <w:vAlign w:val="center"/>
          </w:tcPr>
          <w:p>
            <w:pPr>
              <w:rPr>
                <w:lang w:eastAsia="ja-JP"/>
              </w:rPr>
            </w:pPr>
          </w:p>
        </w:tc>
        <w:tc>
          <w:tcPr>
            <w:tcW w:w="1428" w:type="dxa"/>
            <w:vAlign w:val="center"/>
          </w:tcPr>
          <w:p>
            <w:pPr>
              <w:rPr>
                <w:lang w:eastAsia="ja-JP"/>
              </w:rPr>
            </w:pPr>
          </w:p>
        </w:tc>
        <w:tc>
          <w:tcPr>
            <w:tcW w:w="2382" w:type="dxa"/>
            <w:vAlign w:val="center"/>
          </w:tcPr>
          <w:p>
            <w:pPr>
              <w:rPr>
                <w:lang w:eastAsia="ja-JP"/>
              </w:rPr>
            </w:pPr>
          </w:p>
        </w:tc>
        <w:tc>
          <w:tcPr>
            <w:tcW w:w="1705"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pPr>
        <w:pStyle w:val="2"/>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张静</w:t>
            </w:r>
          </w:p>
        </w:tc>
        <w:tc>
          <w:tcPr>
            <w:tcW w:w="1089" w:type="dxa"/>
            <w:vAlign w:val="center"/>
          </w:tcPr>
          <w:p>
            <w:r>
              <w:t>组员</w:t>
            </w:r>
          </w:p>
        </w:tc>
        <w:tc>
          <w:tcPr>
            <w:tcW w:w="711" w:type="dxa"/>
            <w:vAlign w:val="center"/>
          </w:tcPr>
          <w:p>
            <w:r>
              <w:t>女</w:t>
            </w:r>
          </w:p>
        </w:tc>
        <w:tc>
          <w:tcPr>
            <w:tcW w:w="3870" w:type="dxa"/>
            <w:vAlign w:val="center"/>
          </w:tcPr>
          <w:p>
            <w:r>
              <w:t>2021-N1EnMS-1011923</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pPr>
        <w:pStyle w:val="2"/>
      </w:pPr>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由“</w:t>
            </w:r>
            <w:r>
              <w:rPr>
                <w:rFonts w:hint="eastAsia" w:eastAsia="宋体"/>
                <w:lang w:val="en-US" w:eastAsia="zh-CN"/>
              </w:rPr>
              <w:t>CCC证书范围内高低压开关、配电终端及成套设备的研发和组装所涉及场所的相关能源管理活动”变更为“资质范围内高低压开关、配电终端及成套设备的研发和组装所涉及场所的相关能源管理活动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pStyle w:val="2"/>
      </w:pPr>
    </w:p>
    <w:p>
      <w:pPr>
        <w:numPr>
          <w:ilvl w:val="0"/>
          <w:numId w:val="1"/>
        </w:numPr>
      </w:pPr>
      <w:r>
        <w:t>审核发现</w:t>
      </w:r>
      <w:r>
        <w:rPr>
          <w:rFonts w:hint="eastAsia"/>
        </w:rPr>
        <w:t>（见□QMS □EcMS□EMS□OHSMS</w:t>
      </w:r>
      <w:r>
        <w:rPr>
          <w:rFonts w:hint="eastAsia"/>
        </w:rPr>
        <w:sym w:font="Wingdings 2" w:char="0052"/>
      </w:r>
      <w:r>
        <w:rPr>
          <w:rFonts w:hint="eastAsia"/>
        </w:rPr>
        <w:t>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106045</wp:posOffset>
                  </wp:positionH>
                  <wp:positionV relativeFrom="paragraph">
                    <wp:posOffset>46990</wp:posOffset>
                  </wp:positionV>
                  <wp:extent cx="982345" cy="319405"/>
                  <wp:effectExtent l="0" t="0" r="0" b="10795"/>
                  <wp:wrapSquare wrapText="bothSides"/>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6"/>
                          <a:stretch>
                            <a:fillRect/>
                          </a:stretch>
                        </pic:blipFill>
                        <pic:spPr>
                          <a:xfrm>
                            <a:off x="0" y="0"/>
                            <a:ext cx="982345" cy="31940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w:t>
            </w:r>
            <w:r>
              <w:rPr>
                <w:rFonts w:hint="eastAsia"/>
              </w:rPr>
              <w:sym w:font="Wingdings 2" w:char="0052"/>
            </w:r>
            <w:r>
              <w:rPr>
                <w:rFonts w:hint="eastAsia"/>
              </w:rPr>
              <w:t>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生产/服务过程</w:t>
            </w:r>
            <w:r>
              <w:rPr>
                <w:rFonts w:hint="eastAsia"/>
              </w:rPr>
              <w:sym w:font="Wingdings 2" w:char="00A3"/>
            </w:r>
            <w:r>
              <w:rPr>
                <w:rFonts w:hint="eastAsia"/>
              </w:rPr>
              <w:t>能效监测</w:t>
            </w:r>
            <w:r>
              <w:rPr>
                <w:rFonts w:hint="eastAsia"/>
              </w:rPr>
              <w:sym w:font="Wingdings 2" w:char="0052"/>
            </w:r>
            <w:r>
              <w:rPr>
                <w:rFonts w:hint="eastAsia"/>
              </w:rPr>
              <w:t>设备维修</w:t>
            </w: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b/>
                <w:bCs/>
                <w:color w:val="000000"/>
                <w:szCs w:val="18"/>
              </w:rPr>
            </w:pPr>
            <w:r>
              <w:rPr>
                <w:rFonts w:hint="eastAsia"/>
              </w:rPr>
              <w:t>最高管理者制定了文件化的管理体系方针：</w:t>
            </w:r>
            <w:r>
              <w:rPr>
                <w:rFonts w:hint="eastAsia" w:eastAsia="宋体"/>
                <w:b/>
                <w:bCs/>
                <w:color w:val="000000"/>
                <w:szCs w:val="18"/>
              </w:rPr>
              <w:t>严格贯彻节能法律法规，履行节能降耗相关要求；</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eastAsia="宋体"/>
                <w:b/>
                <w:bCs/>
                <w:color w:val="000000"/>
                <w:szCs w:val="18"/>
              </w:rPr>
              <w:t>提供资源促进节能进步，持续改进能源管理绩效；形成节能降耗长效机制，构建节约环保绿色企业。</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EnMS的主管部门是——</w:t>
            </w:r>
            <w:r>
              <w:rPr>
                <w:rFonts w:hint="eastAsia"/>
              </w:rPr>
              <w:sym w:font="Wingdings 2" w:char="0052"/>
            </w:r>
            <w:r>
              <w:rPr>
                <w:rFonts w:hint="eastAsia"/>
                <w:lang w:val="en-US" w:eastAsia="zh-CN"/>
              </w:rPr>
              <w:t xml:space="preserve">生产部    </w:t>
            </w:r>
            <w:r>
              <w:rPr>
                <w:rFonts w:hint="eastAsia"/>
              </w:rPr>
              <w:t>能源管理团队</w:t>
            </w:r>
            <w:r>
              <w:rPr>
                <w:rFonts w:hint="eastAsia"/>
                <w:lang w:eastAsia="zh-CN"/>
              </w:rPr>
              <w:t>——</w:t>
            </w:r>
            <w:r>
              <w:rPr>
                <w:rFonts w:hint="eastAsia"/>
              </w:rPr>
              <w:sym w:font="Wingdings 2" w:char="0052"/>
            </w:r>
            <w:r>
              <w:rPr>
                <w:rFonts w:hint="eastAsia"/>
                <w:lang w:val="en-US" w:eastAsia="zh-CN"/>
              </w:rPr>
              <w:t>生产部</w:t>
            </w:r>
          </w:p>
          <w:p>
            <w:pPr>
              <w:shd w:val="clear" w:color="auto" w:fill="EBF1DE" w:themeFill="accent3" w:themeFillTint="32"/>
              <w:rPr>
                <w:rFonts w:hint="default" w:eastAsia="宋体"/>
                <w:lang w:val="en-US" w:eastAsia="zh-CN"/>
              </w:rPr>
            </w:pPr>
            <w:r>
              <w:rPr>
                <w:rFonts w:hint="eastAsia"/>
              </w:rPr>
              <w:t>能源管理团队负责人是——</w:t>
            </w:r>
            <w:r>
              <w:rPr>
                <w:rFonts w:hint="eastAsia"/>
                <w:lang w:val="en-US" w:eastAsia="zh-CN"/>
              </w:rPr>
              <w:t>储可杰</w:t>
            </w:r>
            <w:r>
              <w:rPr>
                <w:rFonts w:hint="eastAsia"/>
                <w:lang w:eastAsia="zh-CN"/>
              </w:rPr>
              <w:t>；</w:t>
            </w:r>
            <w:r>
              <w:rPr>
                <w:rFonts w:hint="eastAsia"/>
              </w:rPr>
              <w:t>管理者代表</w:t>
            </w:r>
            <w:r>
              <w:rPr>
                <w:rFonts w:hint="eastAsia"/>
                <w:lang w:eastAsia="zh-CN"/>
              </w:rPr>
              <w:t>——</w:t>
            </w:r>
            <w:r>
              <w:rPr>
                <w:rFonts w:hint="eastAsia"/>
                <w:lang w:val="en-US" w:eastAsia="zh-CN"/>
              </w:rPr>
              <w:t>唐卫兵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能源法律法规及相关标准的变化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及时识别并评价合规性，制定相应的措施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主要耗能设备的使用</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目前无主要耗能设备</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能源计量器具的配备及符合性</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计量器具配备符合要求</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配备基本符合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能源使用包括(必要时，按每个场所来描述):（不必全选）</w:t>
            </w:r>
          </w:p>
          <w:p>
            <w:pPr>
              <w:shd w:val="clear" w:color="auto" w:fill="EBF1DE" w:themeFill="accent3" w:themeFillTint="32"/>
              <w:spacing w:before="40" w:after="40"/>
            </w:pPr>
            <w:r>
              <w:rPr>
                <w:rFonts w:hint="eastAsia"/>
              </w:rPr>
              <w:t>□蒸汽□天然气□燃料油□燃料气</w:t>
            </w:r>
            <w:r>
              <w:rPr>
                <w:rFonts w:hint="eastAsia"/>
              </w:rPr>
              <w:sym w:font="Wingdings 2" w:char="0052"/>
            </w:r>
            <w:r>
              <w:rPr>
                <w:rFonts w:hint="eastAsia"/>
              </w:rPr>
              <w:t>电力</w:t>
            </w:r>
            <w:r>
              <w:rPr>
                <w:rFonts w:hint="eastAsia"/>
              </w:rPr>
              <w:sym w:font="Wingdings 2" w:char="0052"/>
            </w:r>
            <w:r>
              <w:rPr>
                <w:rFonts w:hint="eastAsia"/>
              </w:rPr>
              <w:t>氮气□风</w:t>
            </w:r>
            <w:r>
              <w:rPr>
                <w:rFonts w:hint="eastAsia"/>
              </w:rPr>
              <w:sym w:font="Wingdings 2" w:char="0052"/>
            </w:r>
            <w:r>
              <w:rPr>
                <w:rFonts w:hint="eastAsia"/>
              </w:rPr>
              <w:t>新鲜水□各种品质水</w:t>
            </w:r>
          </w:p>
          <w:p>
            <w:pPr>
              <w:jc w:val="left"/>
              <w:rPr>
                <w:rFonts w:hint="eastAsia"/>
                <w:lang w:val="en-US" w:eastAsia="zh-CN"/>
              </w:rPr>
            </w:pPr>
            <w:r>
              <w:rPr>
                <w:rFonts w:hint="eastAsia"/>
              </w:rPr>
              <w:sym w:font="Wingdings 2" w:char="0052"/>
            </w:r>
            <w:r>
              <w:rPr>
                <w:rFonts w:hint="eastAsia"/>
              </w:rPr>
              <w:t>其他</w:t>
            </w:r>
            <w:r>
              <w:rPr>
                <w:rFonts w:hint="eastAsia"/>
                <w:lang w:eastAsia="zh-CN"/>
              </w:rPr>
              <w:t>——</w:t>
            </w:r>
            <w:r>
              <w:rPr>
                <w:rFonts w:hint="eastAsia"/>
                <w:lang w:val="en-US" w:eastAsia="zh-CN"/>
              </w:rPr>
              <w:t>混合气体等</w:t>
            </w:r>
          </w:p>
          <w:p>
            <w:pPr>
              <w:pStyle w:val="2"/>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eastAsia" w:eastAsia="宋体"/>
                <w:lang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能源消费总量□单位产品蒸汽消耗□单位产品燃料气消耗□加热炉热效率</w:t>
            </w:r>
            <w:r>
              <w:rPr>
                <w:rFonts w:hint="eastAsia"/>
              </w:rPr>
              <w:sym w:font="Wingdings 2" w:char="0052"/>
            </w:r>
            <w:r>
              <w:rPr>
                <w:rFonts w:hint="eastAsia"/>
              </w:rPr>
              <w:t>其他</w:t>
            </w:r>
            <w:r>
              <w:rPr>
                <w:rFonts w:hint="eastAsia"/>
                <w:lang w:eastAsia="zh-CN"/>
              </w:rPr>
              <w:t>——</w:t>
            </w:r>
            <w:r>
              <w:rPr>
                <w:rFonts w:hint="eastAsia"/>
              </w:rPr>
              <w:t>单位产</w:t>
            </w:r>
            <w:r>
              <w:rPr>
                <w:rFonts w:hint="eastAsia"/>
                <w:lang w:val="en-US" w:eastAsia="zh-CN"/>
              </w:rPr>
              <w:t>值</w:t>
            </w:r>
            <w:r>
              <w:rPr>
                <w:rFonts w:hint="eastAsia"/>
              </w:rPr>
              <w:t>综合能耗</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rPr>
                <w:rFonts w:hint="eastAsia" w:eastAsia="宋体"/>
                <w:lang w:val="en-US" w:eastAsia="zh-CN"/>
              </w:rPr>
            </w:pPr>
            <w:r>
              <w:rPr>
                <w:rFonts w:hint="eastAsia"/>
              </w:rPr>
              <w:t>□节能评估报告编号/日期：</w:t>
            </w:r>
            <w:r>
              <w:rPr>
                <w:rFonts w:hint="eastAsia"/>
                <w:lang w:val="en-US" w:eastAsia="zh-CN"/>
              </w:rPr>
              <w:t>无</w:t>
            </w:r>
          </w:p>
          <w:p>
            <w:pPr>
              <w:shd w:val="clear" w:color="auto" w:fill="EBF1DE" w:themeFill="accent3" w:themeFillTint="32"/>
              <w:rPr>
                <w:rFonts w:hint="default" w:eastAsia="宋体"/>
                <w:lang w:val="en-US" w:eastAsia="zh-CN"/>
              </w:rPr>
            </w:pPr>
            <w:bookmarkStart w:id="34" w:name="_GoBack"/>
            <w:bookmarkEnd w:id="34"/>
            <w:r>
              <w:rPr>
                <w:rFonts w:hint="eastAsia"/>
              </w:rPr>
              <w:sym w:font="Wingdings 2" w:char="0052"/>
            </w:r>
            <w:r>
              <w:rPr>
                <w:rFonts w:hint="eastAsia"/>
              </w:rPr>
              <w:t>能源评审报告编号/日期：</w:t>
            </w:r>
            <w:r>
              <w:rPr>
                <w:rFonts w:hint="eastAsia"/>
                <w:lang w:val="en-US" w:eastAsia="zh-CN"/>
              </w:rPr>
              <w:t>2022年7月5日</w:t>
            </w:r>
          </w:p>
          <w:p>
            <w:pPr>
              <w:shd w:val="clear" w:color="auto" w:fill="EBF1DE" w:themeFill="accent3" w:themeFillTint="32"/>
              <w:rPr>
                <w:rFonts w:hint="eastAsia"/>
                <w:lang w:val="en-US" w:eastAsia="zh-CN"/>
              </w:rPr>
            </w:pPr>
            <w:r>
              <w:rPr>
                <w:rFonts w:hint="eastAsia"/>
              </w:rPr>
              <w:t>□节能项目验收报告编号/日期：</w:t>
            </w:r>
            <w:r>
              <w:rPr>
                <w:rFonts w:hint="eastAsia"/>
                <w:lang w:val="en-US" w:eastAsia="zh-CN"/>
              </w:rPr>
              <w:t>无</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□限额标准□能源计量管理</w:t>
            </w:r>
            <w:r>
              <w:rPr>
                <w:rFonts w:hint="eastAsia"/>
              </w:rPr>
              <w:sym w:font="Wingdings 2" w:char="0052"/>
            </w:r>
            <w:r>
              <w:rPr>
                <w:rFonts w:hint="eastAsia"/>
              </w:rPr>
              <w:t>使用节能设备□主要耗能设备识别及能效测试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5"/>
              <w:gridCol w:w="2391"/>
              <w:gridCol w:w="1841"/>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节能目标</w:t>
                  </w:r>
                  <w:r>
                    <w:rPr>
                      <w:rFonts w:hint="eastAsia" w:ascii="宋体" w:hAnsi="宋体"/>
                      <w:lang w:eastAsia="zh-CN"/>
                    </w:rPr>
                    <w:t>（</w:t>
                  </w:r>
                  <w:r>
                    <w:rPr>
                      <w:rFonts w:hint="eastAsia" w:ascii="宋体" w:hAnsi="宋体"/>
                      <w:lang w:val="en-US" w:eastAsia="zh-CN"/>
                    </w:rPr>
                    <w:t>2022年</w:t>
                  </w:r>
                  <w:r>
                    <w:rPr>
                      <w:rFonts w:hint="eastAsia" w:ascii="宋体" w:hAnsi="宋体"/>
                      <w:lang w:eastAsia="zh-CN"/>
                    </w:rPr>
                    <w:t>）</w:t>
                  </w:r>
                </w:p>
              </w:tc>
              <w:tc>
                <w:tcPr>
                  <w:tcW w:w="2391"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841"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2022年1-6月</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shd w:val="clear" w:color="auto" w:fill="auto"/>
                  <w:vAlign w:val="center"/>
                </w:tcPr>
                <w:p>
                  <w:pPr>
                    <w:jc w:val="left"/>
                    <w:rPr>
                      <w:rFonts w:hint="eastAsia" w:ascii="宋体" w:hAnsi="宋体" w:eastAsia="宋体" w:cs="Times New Roman"/>
                      <w:kern w:val="2"/>
                      <w:sz w:val="21"/>
                      <w:szCs w:val="21"/>
                      <w:lang w:val="en-US" w:eastAsia="zh-CN" w:bidi="ar-SA"/>
                    </w:rPr>
                  </w:pPr>
                  <w:r>
                    <w:rPr>
                      <w:rFonts w:hint="eastAsia" w:ascii="宋体" w:hAnsi="宋体"/>
                      <w:sz w:val="21"/>
                      <w:szCs w:val="21"/>
                    </w:rPr>
                    <w:t>综合能耗，</w:t>
                  </w:r>
                  <w:r>
                    <w:rPr>
                      <w:rFonts w:hint="eastAsia" w:ascii="宋体" w:hAnsi="宋体"/>
                      <w:sz w:val="21"/>
                      <w:szCs w:val="21"/>
                      <w:lang w:val="en-US" w:eastAsia="zh-CN"/>
                    </w:rPr>
                    <w:t>70</w:t>
                  </w:r>
                  <w:r>
                    <w:rPr>
                      <w:rFonts w:hint="eastAsia" w:ascii="宋体" w:hAnsi="宋体"/>
                      <w:sz w:val="21"/>
                      <w:szCs w:val="21"/>
                    </w:rPr>
                    <w:t>tce</w:t>
                  </w:r>
                </w:p>
              </w:tc>
              <w:tc>
                <w:tcPr>
                  <w:tcW w:w="2391"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kern w:val="2"/>
                      <w:sz w:val="21"/>
                      <w:szCs w:val="24"/>
                      <w:lang w:val="en-US" w:eastAsia="zh-CN" w:bidi="ar-SA"/>
                    </w:rPr>
                    <w:t>加强用能设备管理</w:t>
                  </w:r>
                </w:p>
              </w:tc>
              <w:tc>
                <w:tcPr>
                  <w:tcW w:w="1841"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jc w:val="center"/>
                    <w:rPr>
                      <w:rFonts w:hint="default" w:ascii="宋体" w:hAnsi="宋体" w:eastAsia="宋体" w:cs="Times New Roman"/>
                      <w:color w:val="auto"/>
                      <w:kern w:val="2"/>
                      <w:sz w:val="21"/>
                      <w:szCs w:val="21"/>
                      <w:lang w:val="en-GB" w:eastAsia="zh-CN" w:bidi="ar-SA"/>
                    </w:rPr>
                  </w:pPr>
                  <w:r>
                    <w:rPr>
                      <w:rFonts w:hint="eastAsia" w:ascii="宋体" w:hAnsi="宋体" w:eastAsia="宋体" w:cs="Times New Roman"/>
                      <w:color w:val="auto"/>
                      <w:sz w:val="21"/>
                      <w:szCs w:val="21"/>
                      <w:lang w:val="en-US" w:eastAsia="zh-CN"/>
                    </w:rPr>
                    <w:t>33.806</w:t>
                  </w:r>
                  <w:r>
                    <w:rPr>
                      <w:rFonts w:hint="eastAsia" w:ascii="宋体" w:hAnsi="宋体" w:cs="Times New Roman"/>
                      <w:color w:val="auto"/>
                      <w:sz w:val="21"/>
                      <w:szCs w:val="21"/>
                      <w:lang w:val="en-US" w:eastAsia="zh-CN"/>
                    </w:rPr>
                    <w:t xml:space="preserve"> </w:t>
                  </w:r>
                  <w:r>
                    <w:rPr>
                      <w:rFonts w:hint="eastAsia" w:ascii="宋体" w:hAnsi="宋体"/>
                      <w:sz w:val="21"/>
                      <w:szCs w:val="21"/>
                    </w:rPr>
                    <w:t>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shd w:val="clear" w:color="auto" w:fill="auto"/>
                  <w:vAlign w:val="center"/>
                </w:tcPr>
                <w:p>
                  <w:pPr>
                    <w:jc w:val="left"/>
                    <w:rPr>
                      <w:rFonts w:hint="eastAsia" w:ascii="宋体" w:hAnsi="宋体" w:eastAsia="宋体" w:cs="Times New Roman"/>
                      <w:kern w:val="2"/>
                      <w:sz w:val="21"/>
                      <w:szCs w:val="21"/>
                      <w:lang w:val="en-US" w:eastAsia="zh-CN" w:bidi="ar-SA"/>
                    </w:rPr>
                  </w:pPr>
                  <w:r>
                    <w:rPr>
                      <w:rFonts w:hint="eastAsia" w:ascii="宋体" w:hAnsi="宋体"/>
                      <w:sz w:val="21"/>
                      <w:szCs w:val="21"/>
                    </w:rPr>
                    <w:t>单位产品综合能耗</w:t>
                  </w:r>
                  <w:r>
                    <w:rPr>
                      <w:rFonts w:hint="eastAsia" w:ascii="宋体" w:hAnsi="宋体"/>
                      <w:sz w:val="21"/>
                      <w:szCs w:val="21"/>
                      <w:lang w:val="en-US" w:eastAsia="zh-CN"/>
                    </w:rPr>
                    <w:t>3.50Kg</w:t>
                  </w:r>
                  <w:r>
                    <w:rPr>
                      <w:rFonts w:hint="eastAsia" w:ascii="宋体" w:hAnsi="宋体"/>
                      <w:sz w:val="21"/>
                      <w:szCs w:val="21"/>
                    </w:rPr>
                    <w:t>ce/</w:t>
                  </w:r>
                  <w:r>
                    <w:rPr>
                      <w:rFonts w:hint="eastAsia" w:ascii="宋体" w:hAnsi="宋体"/>
                      <w:sz w:val="21"/>
                      <w:szCs w:val="21"/>
                      <w:lang w:val="en-US" w:eastAsia="zh-CN"/>
                    </w:rPr>
                    <w:t>台</w:t>
                  </w:r>
                </w:p>
              </w:tc>
              <w:tc>
                <w:tcPr>
                  <w:tcW w:w="2391"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增加产量</w:t>
                  </w:r>
                </w:p>
              </w:tc>
              <w:tc>
                <w:tcPr>
                  <w:tcW w:w="1841"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sz w:val="21"/>
                      <w:szCs w:val="21"/>
                      <w:lang w:val="en-US" w:eastAsia="zh-CN"/>
                    </w:rPr>
                    <w:t>3.41</w:t>
                  </w:r>
                  <w:r>
                    <w:rPr>
                      <w:rFonts w:hint="eastAsia" w:ascii="宋体" w:hAnsi="宋体" w:cs="Times New Roman"/>
                      <w:color w:val="auto"/>
                      <w:sz w:val="21"/>
                      <w:szCs w:val="21"/>
                      <w:lang w:val="en-US" w:eastAsia="zh-CN"/>
                    </w:rPr>
                    <w:t xml:space="preserve"> </w:t>
                  </w:r>
                  <w:r>
                    <w:rPr>
                      <w:rFonts w:hint="eastAsia" w:ascii="宋体" w:hAnsi="宋体"/>
                      <w:sz w:val="21"/>
                      <w:szCs w:val="21"/>
                      <w:lang w:val="en-US" w:eastAsia="zh-CN"/>
                    </w:rPr>
                    <w:t>Kg</w:t>
                  </w:r>
                  <w:r>
                    <w:rPr>
                      <w:rFonts w:hint="eastAsia" w:ascii="宋体" w:hAnsi="宋体"/>
                      <w:sz w:val="21"/>
                      <w:szCs w:val="21"/>
                    </w:rPr>
                    <w:t>ce/</w:t>
                  </w:r>
                  <w:r>
                    <w:rPr>
                      <w:rFonts w:hint="eastAsia" w:ascii="宋体" w:hAnsi="宋体"/>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shd w:val="clear" w:color="auto" w:fill="auto"/>
                  <w:vAlign w:val="center"/>
                </w:tcPr>
                <w:p>
                  <w:pPr>
                    <w:jc w:val="left"/>
                    <w:rPr>
                      <w:rFonts w:hint="eastAsia" w:ascii="宋体" w:hAnsi="宋体" w:eastAsia="宋体" w:cs="Times New Roman"/>
                      <w:kern w:val="2"/>
                      <w:sz w:val="21"/>
                      <w:szCs w:val="21"/>
                      <w:lang w:val="en-US" w:eastAsia="zh-CN" w:bidi="ar-SA"/>
                    </w:rPr>
                  </w:pPr>
                  <w:r>
                    <w:rPr>
                      <w:rFonts w:hint="eastAsia" w:ascii="宋体" w:hAnsi="宋体"/>
                      <w:sz w:val="21"/>
                      <w:szCs w:val="21"/>
                    </w:rPr>
                    <w:t>单位产值综合能耗</w:t>
                  </w:r>
                  <w:r>
                    <w:rPr>
                      <w:rFonts w:hint="eastAsia" w:ascii="宋体" w:hAnsi="宋体"/>
                      <w:sz w:val="21"/>
                      <w:szCs w:val="21"/>
                      <w:lang w:val="en-US" w:eastAsia="zh-CN"/>
                    </w:rPr>
                    <w:t>2.00</w:t>
                  </w:r>
                  <w:r>
                    <w:rPr>
                      <w:rFonts w:hint="eastAsia" w:ascii="宋体" w:hAnsi="宋体"/>
                      <w:sz w:val="21"/>
                      <w:szCs w:val="21"/>
                    </w:rPr>
                    <w:t>kgce/万元</w:t>
                  </w:r>
                </w:p>
              </w:tc>
              <w:tc>
                <w:tcPr>
                  <w:tcW w:w="2391"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增减产品附加值</w:t>
                  </w:r>
                </w:p>
              </w:tc>
              <w:tc>
                <w:tcPr>
                  <w:tcW w:w="1841"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生产部/财务部</w:t>
                  </w:r>
                </w:p>
              </w:tc>
              <w:tc>
                <w:tcPr>
                  <w:tcW w:w="1774" w:type="dxa"/>
                  <w:shd w:val="clear" w:color="auto" w:fill="auto"/>
                  <w:vAlign w:val="center"/>
                </w:tcPr>
                <w:p>
                  <w:pPr>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sz w:val="21"/>
                      <w:szCs w:val="21"/>
                      <w:lang w:val="en-US" w:eastAsia="zh-CN"/>
                    </w:rPr>
                    <w:t>1.72</w:t>
                  </w:r>
                  <w:r>
                    <w:rPr>
                      <w:rFonts w:hint="eastAsia" w:ascii="宋体" w:hAnsi="宋体" w:cs="Times New Roman"/>
                      <w:color w:val="auto"/>
                      <w:sz w:val="21"/>
                      <w:szCs w:val="21"/>
                      <w:lang w:val="en-US" w:eastAsia="zh-CN"/>
                    </w:rPr>
                    <w:t xml:space="preserve"> </w:t>
                  </w:r>
                  <w:r>
                    <w:rPr>
                      <w:rFonts w:hint="eastAsia" w:ascii="宋体" w:hAnsi="宋体"/>
                      <w:sz w:val="21"/>
                      <w:szCs w:val="21"/>
                    </w:rPr>
                    <w:t>kgce/万元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shd w:val="clear" w:color="auto" w:fill="auto"/>
                </w:tcPr>
                <w:p>
                  <w:pPr>
                    <w:shd w:val="clear" w:color="auto" w:fill="EBF1DE" w:themeFill="accent3" w:themeFillTint="32"/>
                  </w:pPr>
                </w:p>
              </w:tc>
              <w:tc>
                <w:tcPr>
                  <w:tcW w:w="2391" w:type="dxa"/>
                  <w:shd w:val="clear" w:color="auto" w:fill="auto"/>
                  <w:vAlign w:val="center"/>
                </w:tcPr>
                <w:p>
                  <w:pPr>
                    <w:shd w:val="clear" w:color="auto" w:fill="EBF1DE" w:themeFill="accent3" w:themeFillTint="32"/>
                    <w:rPr>
                      <w:rFonts w:ascii="宋体" w:hAnsi="宋体"/>
                    </w:rPr>
                  </w:pPr>
                </w:p>
              </w:tc>
              <w:tc>
                <w:tcPr>
                  <w:tcW w:w="1841"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shd w:val="clear" w:color="auto" w:fill="auto"/>
                </w:tcPr>
                <w:p>
                  <w:pPr>
                    <w:shd w:val="clear" w:color="auto" w:fill="EBF1DE" w:themeFill="accent3" w:themeFillTint="32"/>
                  </w:pPr>
                </w:p>
              </w:tc>
              <w:tc>
                <w:tcPr>
                  <w:tcW w:w="2391" w:type="dxa"/>
                  <w:shd w:val="clear" w:color="auto" w:fill="auto"/>
                  <w:vAlign w:val="center"/>
                </w:tcPr>
                <w:p>
                  <w:pPr>
                    <w:shd w:val="clear" w:color="auto" w:fill="EBF1DE" w:themeFill="accent3" w:themeFillTint="32"/>
                    <w:rPr>
                      <w:rFonts w:ascii="宋体" w:hAnsi="宋体"/>
                    </w:rPr>
                  </w:pPr>
                </w:p>
              </w:tc>
              <w:tc>
                <w:tcPr>
                  <w:tcW w:w="1841"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建筑面积26321.16平方米；生产车间</w:t>
            </w:r>
            <w:r>
              <w:rPr>
                <w:rFonts w:hint="eastAsia"/>
                <w:lang w:val="en-US" w:eastAsia="zh-CN"/>
              </w:rPr>
              <w:t>1</w:t>
            </w:r>
            <w:r>
              <w:rPr>
                <w:rFonts w:hint="eastAsia"/>
              </w:rPr>
              <w:t>个；</w:t>
            </w:r>
            <w:r>
              <w:rPr>
                <w:rFonts w:hint="eastAsia"/>
                <w:highlight w:val="none"/>
              </w:rPr>
              <w:t>库房</w:t>
            </w:r>
            <w:r>
              <w:rPr>
                <w:rFonts w:hint="eastAsia"/>
                <w:highlight w:val="none"/>
                <w:lang w:val="en-US" w:eastAsia="zh-CN"/>
              </w:rPr>
              <w:t>1</w:t>
            </w:r>
            <w:r>
              <w:rPr>
                <w:rFonts w:hint="eastAsia"/>
                <w:highlight w:val="none"/>
              </w:rPr>
              <w:t>个；实验室</w:t>
            </w:r>
            <w:r>
              <w:rPr>
                <w:rFonts w:hint="eastAsia"/>
                <w:highlight w:val="none"/>
                <w:lang w:val="en-US" w:eastAsia="zh-CN"/>
              </w:rPr>
              <w:t>1</w:t>
            </w:r>
            <w:r>
              <w:rPr>
                <w:rFonts w:hint="eastAsia"/>
                <w:highlight w:val="none"/>
              </w:rPr>
              <w:t>个</w:t>
            </w:r>
            <w:r>
              <w:rPr>
                <w:rFonts w:hint="eastAsia"/>
              </w:rPr>
              <w:t>；</w:t>
            </w:r>
          </w:p>
          <w:p>
            <w:pPr>
              <w:shd w:val="clear" w:color="auto" w:fill="EBF1DE" w:themeFill="accent3" w:themeFillTint="32"/>
              <w:rPr>
                <w:u w:val="single"/>
              </w:rPr>
            </w:pPr>
            <w:r>
              <w:rPr>
                <w:rFonts w:hint="eastAsia"/>
              </w:rPr>
              <w:t>主要生产设备有：</w:t>
            </w:r>
            <w:r>
              <w:rPr>
                <w:rFonts w:hint="eastAsia" w:eastAsia="宋体"/>
                <w:u w:val="single"/>
                <w:lang w:val="en-US" w:eastAsia="zh-CN"/>
              </w:rPr>
              <w:t>折弯机、激光切割机、数控冲压机、焊接机、行车、电梯</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u w:val="single"/>
                <w:lang w:val="en-US" w:eastAsia="zh-CN"/>
              </w:rPr>
              <w:t>激光切割机、数控冲压机、折弯机、电梯</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sym w:font="Wingdings 2" w:char="0052"/>
            </w:r>
            <w:r>
              <w:rPr>
                <w:rFonts w:hint="eastAsia"/>
              </w:rPr>
              <w:t>未进行定期校准/检定的有：</w:t>
            </w:r>
            <w:r>
              <w:rPr>
                <w:rFonts w:hint="eastAsia"/>
                <w:lang w:val="en-US" w:eastAsia="zh-CN"/>
              </w:rPr>
              <w:t>由供方电力公司和水务公司负责安装和检定。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sym w:font="Wingdings 2" w:char="00A3"/>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组织为满足节能管理的要求，已对用能过程建立了相应的运行准则；按照运行准则实施过程控制。策划文件包括：</w:t>
            </w:r>
          </w:p>
          <w:p>
            <w:pPr>
              <w:shd w:val="clear" w:color="auto" w:fill="EBF1DE" w:themeFill="accent3" w:themeFillTint="32"/>
              <w:rPr>
                <w:rFonts w:hint="default" w:eastAsia="宋体"/>
                <w:lang w:val="en-US" w:eastAsia="zh-CN"/>
              </w:rPr>
            </w:pP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操作规程</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作业</w:t>
            </w:r>
            <w:r>
              <w:rPr>
                <w:rFonts w:hint="eastAsia" w:ascii="Times New Roman" w:hAnsi="Times New Roman" w:eastAsia="宋体" w:cs="Times New Roman"/>
                <w:lang w:val="en-US" w:eastAsia="zh-CN"/>
              </w:rPr>
              <w:t>指导书</w:t>
            </w:r>
            <w:r>
              <w:rPr>
                <w:rFonts w:hint="eastAsia" w:ascii="Times New Roman" w:hAnsi="Times New Roman" w:eastAsia="宋体" w:cs="Times New Roman"/>
                <w:lang w:eastAsia="zh-CN"/>
              </w:rPr>
              <w:t>□</w:t>
            </w:r>
            <w:r>
              <w:rPr>
                <w:rFonts w:hint="eastAsia" w:ascii="Times New Roman" w:hAnsi="Times New Roman" w:eastAsia="宋体" w:cs="Times New Roman"/>
              </w:rPr>
              <w:t>工艺卡片</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接收准则</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工艺流程图</w:t>
            </w:r>
            <w:r>
              <w:rPr>
                <w:rFonts w:hint="eastAsia" w:ascii="Times New Roman" w:hAnsi="Times New Roman" w:eastAsia="宋体" w:cs="Times New Roman"/>
                <w:lang w:eastAsia="zh-CN"/>
              </w:rPr>
              <w:sym w:font="Wingdings 2" w:char="00A3"/>
            </w:r>
            <w:r>
              <w:rPr>
                <w:rFonts w:hint="eastAsia" w:ascii="Times New Roman" w:hAnsi="Times New Roman" w:eastAsia="宋体" w:cs="Times New Roman"/>
              </w:rPr>
              <w:t>其他</w:t>
            </w:r>
            <w:r>
              <w:rPr>
                <w:rFonts w:hint="eastAsia" w:ascii="Times New Roman" w:hAnsi="Times New Roman" w:eastAsia="宋体"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ascii="Times New Roman" w:hAnsi="Times New Roman" w:eastAsia="宋体" w:cs="Times New Roman"/>
                <w:u w:val="single"/>
                <w:lang w:val="en-US" w:eastAsia="zh-CN"/>
              </w:rPr>
              <w:t>米格电气江苏有限公司新能源微电网示范项目</w:t>
            </w:r>
            <w:r>
              <w:rPr>
                <w:rFonts w:hint="eastAsia" w:ascii="Times New Roman" w:hAnsi="Times New Roman" w:eastAsia="宋体" w:cs="Times New Roman"/>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52"/>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加强用电管理，严格考核制度</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组织识别了潜在紧急情况及应急准备时所带来的能源消耗影响；</w:t>
            </w:r>
            <w:r>
              <w:rPr>
                <w:rFonts w:hint="eastAsia"/>
                <w:lang w:val="en-US" w:eastAsia="zh-CN"/>
              </w:rPr>
              <w:t>该企业可随时实施童工，紧急情况带来的能源消耗影响可控。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4</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r>
              <w:rPr>
                <w:rFonts w:hint="eastAsia"/>
                <w:lang w:val="en-US" w:eastAsia="zh-CN"/>
              </w:rPr>
              <w:t>无主要耗能设备，暂时无需实施能效测试</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10</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24</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7A0659B"/>
    <w:rsid w:val="5909747E"/>
    <w:rsid w:val="6BF945B7"/>
    <w:rsid w:val="6F7F13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3</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2022-08-25T07:09:01Z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