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0583-2022-EnMS</w:t>
      </w:r>
      <w:bookmarkEnd w:id="0"/>
    </w:p>
    <w:p>
      <w:pPr>
        <w:jc w:val="left"/>
        <w:rPr>
          <w:rFonts w:hint="eastAsia"/>
          <w:sz w:val="32"/>
          <w:szCs w:val="32"/>
        </w:rPr>
      </w:pPr>
      <w:r>
        <w:rPr>
          <w:sz w:val="32"/>
          <w:szCs w:val="32"/>
        </w:rPr>
        <w:drawing>
          <wp:anchor distT="0" distB="0" distL="114300" distR="114300" simplePos="0" relativeHeight="251659264" behindDoc="1" locked="0" layoutInCell="1" allowOverlap="1">
            <wp:simplePos x="0" y="0"/>
            <wp:positionH relativeFrom="column">
              <wp:posOffset>2303145</wp:posOffset>
            </wp:positionH>
            <wp:positionV relativeFrom="paragraph">
              <wp:posOffset>544830</wp:posOffset>
            </wp:positionV>
            <wp:extent cx="1492885" cy="1501140"/>
            <wp:effectExtent l="19050" t="0" r="0" b="0"/>
            <wp:wrapNone/>
            <wp:docPr id="7"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0" descr="新LOGO.png"/>
                    <pic:cNvPicPr>
                      <a:picLocks noChangeAspect="1"/>
                    </pic:cNvPicPr>
                  </pic:nvPicPr>
                  <pic:blipFill>
                    <a:blip r:embed="rId5" cstate="print"/>
                    <a:stretch>
                      <a:fillRect/>
                    </a:stretch>
                  </pic:blipFill>
                  <pic:spPr>
                    <a:xfrm>
                      <a:off x="0" y="0"/>
                      <a:ext cx="1492617" cy="1501096"/>
                    </a:xfrm>
                    <a:prstGeom prst="rect">
                      <a:avLst/>
                    </a:prstGeom>
                  </pic:spPr>
                </pic:pic>
              </a:graphicData>
            </a:graphic>
          </wp:anchor>
        </w:drawing>
      </w:r>
      <w:r>
        <w:rPr>
          <w:sz w:val="32"/>
          <w:szCs w:val="32"/>
        </w:rPr>
        <w:br w:type="textWrapping" w:clear="all"/>
      </w: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sz w:val="32"/>
          <w:szCs w:val="32"/>
        </w:rPr>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江苏宜格智能科技有限公司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r>
        <w:rPr>
          <w:rFonts w:hint="eastAsia"/>
          <w:sz w:val="28"/>
          <w:szCs w:val="28"/>
        </w:rPr>
        <w:sym w:font="Wingdings 2" w:char="0052"/>
      </w:r>
      <w:r>
        <w:rPr>
          <w:rFonts w:hint="eastAsia"/>
          <w:sz w:val="28"/>
          <w:szCs w:val="28"/>
        </w:rPr>
        <w:t>能源管理体系（EnMS）</w:t>
      </w:r>
    </w:p>
    <w:p>
      <w:pPr>
        <w:jc w:val="left"/>
        <w:rPr>
          <w:sz w:val="28"/>
          <w:szCs w:val="28"/>
        </w:rPr>
      </w:pPr>
    </w:p>
    <w:p>
      <w:pPr>
        <w:pStyle w:val="2"/>
      </w:pPr>
    </w:p>
    <w:p>
      <w:pPr>
        <w:pStyle w:val="2"/>
      </w:pPr>
    </w:p>
    <w:p>
      <w:pPr>
        <w:pStyle w:val="2"/>
      </w:pPr>
    </w:p>
    <w:p>
      <w:pPr>
        <w:pStyle w:val="2"/>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江苏宜格智能科技有限公司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宜兴市张渚镇新东路388号</w:t>
            </w:r>
            <w:bookmarkEnd w:id="6"/>
          </w:p>
        </w:tc>
        <w:tc>
          <w:tcPr>
            <w:tcW w:w="1242" w:type="dxa"/>
            <w:vMerge w:val="restart"/>
            <w:vAlign w:val="center"/>
          </w:tcPr>
          <w:p>
            <w:r>
              <w:rPr>
                <w:rFonts w:hint="eastAsia"/>
              </w:rPr>
              <w:t>邮编</w:t>
            </w:r>
          </w:p>
        </w:tc>
        <w:tc>
          <w:tcPr>
            <w:tcW w:w="1771" w:type="dxa"/>
          </w:tcPr>
          <w:p>
            <w:bookmarkStart w:id="7" w:name="注册邮编"/>
            <w:r>
              <w:t>214231</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办公地址"/>
            <w:r>
              <w:t>江苏省宜兴市岳南路88号</w:t>
            </w:r>
            <w:bookmarkEnd w:id="8"/>
          </w:p>
        </w:tc>
        <w:tc>
          <w:tcPr>
            <w:tcW w:w="1242" w:type="dxa"/>
            <w:vMerge w:val="continue"/>
            <w:vAlign w:val="center"/>
          </w:tcPr>
          <w:p/>
        </w:tc>
        <w:tc>
          <w:tcPr>
            <w:tcW w:w="1771" w:type="dxa"/>
          </w:tcPr>
          <w:p>
            <w:bookmarkStart w:id="9" w:name="办公邮编"/>
            <w:r>
              <w:t>214200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范倩娴</w:t>
            </w:r>
            <w:bookmarkEnd w:id="10"/>
          </w:p>
        </w:tc>
        <w:tc>
          <w:tcPr>
            <w:tcW w:w="1313" w:type="dxa"/>
            <w:vAlign w:val="center"/>
          </w:tcPr>
          <w:p>
            <w:r>
              <w:rPr>
                <w:rFonts w:hint="eastAsia"/>
              </w:rPr>
              <w:t>电话.</w:t>
            </w:r>
          </w:p>
        </w:tc>
        <w:tc>
          <w:tcPr>
            <w:tcW w:w="2180" w:type="dxa"/>
            <w:vAlign w:val="center"/>
          </w:tcPr>
          <w:p>
            <w:bookmarkStart w:id="11" w:name="联系人电话"/>
            <w:r>
              <w:t>13915378783</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储盘峰</w:t>
            </w:r>
            <w:bookmarkEnd w:id="13"/>
          </w:p>
        </w:tc>
        <w:tc>
          <w:tcPr>
            <w:tcW w:w="1313" w:type="dxa"/>
            <w:vAlign w:val="center"/>
          </w:tcPr>
          <w:p>
            <w:r>
              <w:rPr>
                <w:rFonts w:hint="eastAsia"/>
              </w:rPr>
              <w:t>管理者代表</w:t>
            </w:r>
          </w:p>
        </w:tc>
        <w:tc>
          <w:tcPr>
            <w:tcW w:w="2180" w:type="dxa"/>
          </w:tcPr>
          <w:p>
            <w:bookmarkStart w:id="14" w:name="管理者代表"/>
            <w:r>
              <w:t>范倩娴</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none"/>
              </w:rPr>
              <w:t>多班次说明</w:t>
            </w:r>
          </w:p>
        </w:tc>
        <w:tc>
          <w:tcPr>
            <w:tcW w:w="8058" w:type="dxa"/>
            <w:gridSpan w:val="5"/>
            <w:shd w:val="clear" w:color="auto" w:fill="auto"/>
          </w:tcPr>
          <w:p>
            <w:pPr>
              <w:rPr>
                <w:highlight w:val="cyan"/>
              </w:rPr>
            </w:pPr>
            <w:r>
              <w:rPr>
                <w:rFonts w:hint="eastAsia"/>
              </w:rPr>
              <w:t>受审核组织的班次：</w:t>
            </w:r>
            <w:r>
              <w:rPr>
                <w:rFonts w:hint="eastAsia"/>
              </w:rPr>
              <w:sym w:font="Wingdings 2" w:char="0052"/>
            </w:r>
            <w:r>
              <w:rPr>
                <w:rFonts w:hint="eastAsia"/>
              </w:rPr>
              <w:t>单班□双班□三班□其他</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tabs>
                <w:tab w:val="left" w:pos="360"/>
              </w:tabs>
              <w:ind w:left="360" w:hanging="360"/>
              <w:rPr>
                <w:rFonts w:hint="eastAsia"/>
                <w:lang w:val="en-US" w:eastAsia="zh-CN"/>
              </w:rPr>
            </w:pPr>
            <w:r>
              <w:rPr>
                <w:rFonts w:hint="eastAsia"/>
                <w:lang w:val="en-US" w:eastAsia="zh-CN"/>
              </w:rPr>
              <w:t>业务流程（工程承包）：</w:t>
            </w:r>
          </w:p>
          <w:p>
            <w:pPr>
              <w:tabs>
                <w:tab w:val="left" w:pos="360"/>
              </w:tabs>
              <w:rPr>
                <w:rFonts w:hint="eastAsia"/>
                <w:lang w:val="en-US" w:eastAsia="zh-CN"/>
              </w:rPr>
            </w:pPr>
            <w:r>
              <w:rPr>
                <w:rFonts w:hint="eastAsia"/>
                <w:lang w:val="en-US" w:eastAsia="zh-CN"/>
              </w:rPr>
              <w:t>测量、定位－支架及固定基座施工－沟槽开挖、管网安装及施工－电缆放线、接线及试验－接地施工及接地测试－箱逆变基础施工－设备安装－设备接线－调试－组织验收－不符合整改－竣工移交</w:t>
            </w:r>
          </w:p>
          <w:p>
            <w:pPr>
              <w:tabs>
                <w:tab w:val="left" w:pos="360"/>
              </w:tabs>
              <w:ind w:left="360" w:hanging="360"/>
              <w:rPr>
                <w:rFonts w:hint="eastAsia"/>
                <w:lang w:val="en-US" w:eastAsia="zh-CN"/>
              </w:rPr>
            </w:pPr>
            <w:r>
              <w:rPr>
                <w:rFonts w:hint="eastAsia"/>
                <w:lang w:val="en-US" w:eastAsia="zh-CN"/>
              </w:rPr>
              <w:t>业务流程（计算机软硬件的销售）：</w:t>
            </w:r>
          </w:p>
          <w:p>
            <w:r>
              <w:rPr>
                <w:rFonts w:hint="eastAsia"/>
                <w:lang w:val="en-US" w:eastAsia="zh-CN"/>
              </w:rPr>
              <w:t>顾客要求获取→顾客要求评审→签订销售合同→销售活动策划→采购→产品质量验证→产品交付顾客→售后服务</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2022年08月2</w:t>
            </w:r>
            <w:r>
              <w:rPr>
                <w:rFonts w:hint="eastAsia"/>
                <w:lang w:val="en-US" w:eastAsia="zh-CN"/>
              </w:rPr>
              <w:t>8</w:t>
            </w:r>
            <w:r>
              <w:rPr>
                <w:rFonts w:hint="eastAsia"/>
              </w:rPr>
              <w:t>日 下午至2022年08月2</w:t>
            </w:r>
            <w:r>
              <w:rPr>
                <w:rFonts w:hint="eastAsia"/>
                <w:lang w:val="en-US" w:eastAsia="zh-CN"/>
              </w:rPr>
              <w:t>9</w:t>
            </w:r>
            <w:r>
              <w:rPr>
                <w:rFonts w:hint="eastAsia"/>
              </w:rPr>
              <w:t>日 上午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Add1"/>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951"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 xml:space="preserve">/ISO 9001:2015  </w:t>
            </w:r>
            <w:bookmarkStart w:id="21" w:name="QJ勾选"/>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 xml:space="preserve">/ISO 14001:2015 </w:t>
            </w:r>
            <w:bookmarkStart w:id="23" w:name="S勾选Add1"/>
            <w:r>
              <w:rPr>
                <w:rFonts w:hint="eastAsia"/>
                <w:lang w:val="de-DE"/>
              </w:rPr>
              <w:t>□</w:t>
            </w:r>
            <w:bookmarkEnd w:id="23"/>
            <w:r>
              <w:rPr>
                <w:rFonts w:hint="eastAsia"/>
              </w:rPr>
              <w:t>GB/T 45001-2020/</w:t>
            </w:r>
            <w:r>
              <w:rPr>
                <w:rFonts w:hint="eastAsia"/>
                <w:lang w:val="de-DE"/>
              </w:rPr>
              <w:t>ISO45001：2018</w:t>
            </w:r>
          </w:p>
          <w:p>
            <w:pPr>
              <w:rPr>
                <w:lang w:val="de-DE"/>
              </w:rPr>
            </w:pPr>
            <w:r>
              <w:rPr>
                <w:rFonts w:hint="eastAsia"/>
                <w:lang w:val="de-DE"/>
              </w:rPr>
              <w:sym w:font="Wingdings 2" w:char="0052"/>
            </w:r>
            <w:r>
              <w:rPr>
                <w:rFonts w:hint="eastAsia"/>
              </w:rPr>
              <w:t>GB/T 23331-2020/</w:t>
            </w:r>
            <w:r>
              <w:rPr>
                <w:rFonts w:hint="eastAsia"/>
                <w:lang w:val="de-DE"/>
              </w:rPr>
              <w:t>ISO50001：2018标准</w:t>
            </w:r>
          </w:p>
          <w:p>
            <w:r>
              <w:rPr>
                <w:rFonts w:hint="eastAsia"/>
                <w:lang w:val="de-DE"/>
              </w:rPr>
              <w:sym w:font="Wingdings 2" w:char="0052"/>
            </w:r>
            <w:r>
              <w:rPr>
                <w:rFonts w:hint="eastAsia"/>
                <w:lang w:val="de-DE"/>
              </w:rPr>
              <w:t>RB/T</w:t>
            </w:r>
            <w:r>
              <w:rPr>
                <w:rFonts w:hint="eastAsia"/>
                <w:lang w:val="en-US" w:eastAsia="zh-CN"/>
              </w:rPr>
              <w:t>124-2018</w:t>
            </w:r>
            <w:r>
              <w:rPr>
                <w:rFonts w:hint="eastAsia"/>
                <w:lang w:val="de-DE"/>
              </w:rPr>
              <w:t xml:space="preserve">       </w:t>
            </w:r>
            <w:r>
              <w:rPr>
                <w:rFonts w:hint="eastAsia"/>
              </w:rPr>
              <w:t>(</w:t>
            </w:r>
            <w:r>
              <w:rPr>
                <w:rFonts w:hint="eastAsia"/>
                <w:lang w:val="de-DE"/>
              </w:rPr>
              <w:t>行业认证标准</w:t>
            </w:r>
            <w:r>
              <w:rPr>
                <w:rFonts w:hint="eastAsia"/>
              </w:rPr>
              <w:t>)</w:t>
            </w:r>
          </w:p>
          <w:p>
            <w:r>
              <w:rPr>
                <w:rFonts w:hint="eastAsia"/>
                <w:lang w:val="de-DE"/>
              </w:rPr>
              <w:sym w:font="Wingdings 2" w:char="0052"/>
            </w:r>
            <w:r>
              <w:rPr>
                <w:rFonts w:hint="eastAsia"/>
                <w:lang w:val="de-DE"/>
              </w:rPr>
              <w:t>受审核方</w:t>
            </w:r>
            <w:r>
              <w:rPr>
                <w:rFonts w:hint="eastAsia"/>
              </w:rPr>
              <w:t>管理体系成文信息</w:t>
            </w:r>
            <w:r>
              <w:rPr>
                <w:rFonts w:hint="eastAsia"/>
                <w:lang w:val="de-DE"/>
              </w:rPr>
              <w:sym w:font="Wingdings 2" w:char="0052"/>
            </w:r>
            <w:r>
              <w:rPr>
                <w:rFonts w:hint="eastAsia"/>
              </w:rPr>
              <w:t>顾客要求</w:t>
            </w:r>
          </w:p>
          <w:p>
            <w:r>
              <w:rPr>
                <w:rFonts w:hint="eastAsia"/>
                <w:lang w:val="de-DE"/>
              </w:rPr>
              <w:sym w:font="Wingdings 2" w:char="0052"/>
            </w:r>
            <w:r>
              <w:rPr>
                <w:rFonts w:hint="eastAsia"/>
                <w:lang w:val="de-DE"/>
              </w:rPr>
              <w:t>适用于受审核方的法律法规及其他要求</w:t>
            </w:r>
            <w:r>
              <w:rPr>
                <w:rFonts w:hint="eastAsia"/>
                <w:lang w:val="de-DE"/>
              </w:rPr>
              <w:sym w:font="Wingdings 2" w:char="0052"/>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sym w:font="Wingdings 2" w:char="0052"/>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rPr>
                <w:rFonts w:hint="default" w:eastAsia="宋体"/>
                <w:lang w:val="en-US" w:eastAsia="zh-CN"/>
              </w:rPr>
            </w:pPr>
            <w:r>
              <w:rPr>
                <w:rFonts w:hint="eastAsia" w:ascii="宋体" w:hAnsi="宋体" w:cs="宋体"/>
                <w:color w:val="000000"/>
                <w:kern w:val="0"/>
              </w:rPr>
              <w:sym w:font="Wingdings 2" w:char="0052"/>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r>
              <w:rPr>
                <w:rFonts w:hint="eastAsia" w:ascii="宋体" w:hAnsi="宋体" w:cs="宋体"/>
                <w:color w:val="000000"/>
                <w:kern w:val="0"/>
                <w:szCs w:val="21"/>
                <w:lang w:eastAsia="zh-CN"/>
              </w:rPr>
              <w:t>。</w:t>
            </w:r>
            <w:r>
              <w:rPr>
                <w:rFonts w:hint="eastAsia" w:ascii="宋体" w:hAnsi="宋体" w:cs="宋体"/>
                <w:color w:val="000000"/>
                <w:kern w:val="0"/>
                <w:szCs w:val="21"/>
                <w:lang w:val="en-US" w:eastAsia="zh-CN"/>
              </w:rPr>
              <w:t>注：因疫情原因2022年8月29日变更为现场结合远程审核（审核计划已变更）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初审Add1"/>
            <w:r>
              <w:rPr>
                <w:rFonts w:hint="eastAsia"/>
              </w:rPr>
              <w:t>■</w:t>
            </w:r>
            <w:bookmarkEnd w:id="24"/>
            <w:r>
              <w:rPr>
                <w:rFonts w:hint="eastAsia"/>
              </w:rPr>
              <w:t>初审二阶段</w:t>
            </w:r>
            <w:bookmarkStart w:id="25" w:name="监督勾选"/>
            <w:r>
              <w:rPr>
                <w:rFonts w:hint="eastAsia"/>
              </w:rPr>
              <w:t>□</w:t>
            </w:r>
            <w:bookmarkEnd w:id="25"/>
            <w:r>
              <w:rPr>
                <w:rFonts w:hint="eastAsia"/>
              </w:rPr>
              <w:t>监督第</w:t>
            </w:r>
            <w:bookmarkStart w:id="26" w:name="监督次数"/>
            <w:bookmarkEnd w:id="26"/>
            <w:r>
              <w:rPr>
                <w:rFonts w:hint="eastAsia" w:ascii="宋体" w:hAnsi="宋体" w:cs="宋体"/>
                <w:color w:val="000000"/>
                <w:kern w:val="0"/>
                <w:szCs w:val="21"/>
                <w:lang w:val="en-US" w:eastAsia="zh-CN"/>
              </w:rPr>
              <w:t>远程</w:t>
            </w:r>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r>
              <w:t>江苏省宜兴市岳南路88号</w:t>
            </w:r>
          </w:p>
          <w:p>
            <w:r>
              <w:rPr>
                <w:rFonts w:hint="eastAsia"/>
                <w:lang w:val="en-US" w:eastAsia="zh-CN"/>
              </w:rPr>
              <w:t>29日审核地址：河北省石家庄市（远程）/</w:t>
            </w:r>
            <w:r>
              <w:t>江苏省宜兴市岳南路88号</w:t>
            </w:r>
          </w:p>
          <w:p>
            <w:pPr>
              <w:pStyle w:val="2"/>
              <w:rPr>
                <w:rFonts w:hint="default"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音频</w:t>
            </w:r>
            <w:r>
              <w:rPr>
                <w:rFonts w:hint="eastAsia" w:ascii="宋体"/>
                <w:b/>
                <w:color w:val="0000FF"/>
                <w:szCs w:val="21"/>
              </w:rPr>
              <w:sym w:font="Wingdings 2" w:char="0052"/>
            </w:r>
            <w:r>
              <w:rPr>
                <w:rFonts w:hint="eastAsia" w:ascii="宋体"/>
                <w:b/>
                <w:color w:val="0000FF"/>
                <w:szCs w:val="21"/>
              </w:rPr>
              <w:t>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网络</w:t>
            </w:r>
            <w:r>
              <w:rPr>
                <w:rFonts w:hint="eastAsia" w:ascii="宋体"/>
                <w:b/>
                <w:color w:val="0000FF"/>
                <w:szCs w:val="21"/>
              </w:rPr>
              <w:sym w:font="Wingdings 2" w:char="0052"/>
            </w:r>
            <w:r>
              <w:rPr>
                <w:rFonts w:hint="eastAsia" w:ascii="宋体"/>
                <w:b/>
                <w:color w:val="0000FF"/>
                <w:szCs w:val="21"/>
              </w:rPr>
              <w:t>智能手机□手持设备</w:t>
            </w:r>
            <w:r>
              <w:rPr>
                <w:rFonts w:hint="eastAsia" w:ascii="宋体"/>
                <w:b/>
                <w:color w:val="0000FF"/>
                <w:szCs w:val="21"/>
              </w:rPr>
              <w:sym w:font="Wingdings 2" w:char="0052"/>
            </w:r>
            <w:r>
              <w:rPr>
                <w:rFonts w:hint="eastAsia" w:ascii="宋体"/>
                <w:b/>
                <w:color w:val="0000FF"/>
                <w:szCs w:val="21"/>
              </w:rPr>
              <w:t>笔记本电脑</w:t>
            </w:r>
            <w:r>
              <w:rPr>
                <w:rFonts w:hint="eastAsia" w:ascii="宋体"/>
                <w:b/>
                <w:color w:val="0000FF"/>
                <w:szCs w:val="21"/>
              </w:rPr>
              <w:sym w:font="Wingdings 2" w:char="0052"/>
            </w:r>
            <w:r>
              <w:rPr>
                <w:rFonts w:hint="eastAsia" w:ascii="宋体"/>
                <w:b/>
                <w:color w:val="0000FF"/>
                <w:szCs w:val="21"/>
              </w:rPr>
              <w:t>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资质范围内电子与智能化工程施工专业承包、计算机软硬件的销售所涉及的能源管理活动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2.10</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2022</w:t>
            </w:r>
            <w:r>
              <w:rPr>
                <w:rFonts w:hint="eastAsia"/>
              </w:rPr>
              <w:t>年</w:t>
            </w:r>
            <w:r>
              <w:rPr>
                <w:rFonts w:hint="eastAsia"/>
                <w:lang w:val="en-US" w:eastAsia="zh-CN"/>
              </w:rPr>
              <w:t>1</w:t>
            </w:r>
            <w:r>
              <w:rPr>
                <w:rFonts w:hint="eastAsia"/>
              </w:rPr>
              <w:t>月</w:t>
            </w:r>
            <w:r>
              <w:rPr>
                <w:rFonts w:hint="eastAsia"/>
                <w:lang w:val="en-US" w:eastAsia="zh-CN"/>
              </w:rPr>
              <w:t>1</w:t>
            </w:r>
            <w:r>
              <w:rPr>
                <w:rFonts w:hint="eastAsia"/>
              </w:rPr>
              <w:t>日</w:t>
            </w:r>
          </w:p>
          <w:p/>
        </w:tc>
        <w:tc>
          <w:tcPr>
            <w:tcW w:w="1883" w:type="dxa"/>
            <w:vAlign w:val="center"/>
          </w:tcPr>
          <w:p>
            <w:r>
              <w:rPr>
                <w:rFonts w:hint="eastAsia"/>
                <w:b/>
                <w:bCs/>
              </w:rPr>
              <w:t>能源管理体系运行已超过6个月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年月日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1690"/>
        <w:gridCol w:w="1354"/>
        <w:gridCol w:w="1173"/>
        <w:gridCol w:w="2609"/>
        <w:gridCol w:w="1751"/>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1690" w:type="dxa"/>
            <w:shd w:val="clear" w:color="auto" w:fill="F3F3F3"/>
            <w:tcMar>
              <w:left w:w="57" w:type="dxa"/>
              <w:right w:w="57" w:type="dxa"/>
            </w:tcMar>
          </w:tcPr>
          <w:p>
            <w:r>
              <w:rPr>
                <w:rFonts w:hint="eastAsia"/>
              </w:rPr>
              <w:t>组织名称及注册场所地址</w:t>
            </w:r>
          </w:p>
        </w:tc>
        <w:tc>
          <w:tcPr>
            <w:tcW w:w="1354" w:type="dxa"/>
            <w:shd w:val="clear" w:color="auto" w:fill="F3F3F3"/>
            <w:tcMar>
              <w:left w:w="57" w:type="dxa"/>
              <w:right w:w="57" w:type="dxa"/>
            </w:tcMar>
          </w:tcPr>
          <w:p>
            <w:r>
              <w:rPr>
                <w:rFonts w:hint="eastAsia"/>
              </w:rPr>
              <w:t>经营场所的地址</w:t>
            </w:r>
          </w:p>
          <w:p>
            <w:r>
              <w:rPr>
                <w:rFonts w:hint="eastAsia"/>
              </w:rPr>
              <w:t>（多现场和临时现场）</w:t>
            </w:r>
          </w:p>
        </w:tc>
        <w:tc>
          <w:tcPr>
            <w:tcW w:w="1173" w:type="dxa"/>
            <w:shd w:val="clear" w:color="auto" w:fill="F3F3F3"/>
            <w:tcMar>
              <w:left w:w="57" w:type="dxa"/>
              <w:right w:w="57" w:type="dxa"/>
            </w:tcMar>
          </w:tcPr>
          <w:p>
            <w:r>
              <w:rPr>
                <w:rFonts w:hint="eastAsia"/>
              </w:rPr>
              <w:t>员工人数</w:t>
            </w:r>
          </w:p>
        </w:tc>
        <w:tc>
          <w:tcPr>
            <w:tcW w:w="2609" w:type="dxa"/>
            <w:shd w:val="clear" w:color="auto" w:fill="F3F3F3"/>
            <w:tcMar>
              <w:left w:w="57" w:type="dxa"/>
              <w:right w:w="57" w:type="dxa"/>
            </w:tcMar>
          </w:tcPr>
          <w:p>
            <w:r>
              <w:rPr>
                <w:rFonts w:hint="eastAsia"/>
              </w:rPr>
              <w:t>审核范围（产品和过程）</w:t>
            </w:r>
          </w:p>
          <w:p/>
          <w:p>
            <w:r>
              <w:rPr>
                <w:rFonts w:hint="eastAsia"/>
              </w:rPr>
              <w:t>（注：FSMS/HACCP要明确到车间）</w:t>
            </w:r>
          </w:p>
        </w:tc>
        <w:tc>
          <w:tcPr>
            <w:tcW w:w="1751"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1690" w:type="dxa"/>
            <w:vAlign w:val="top"/>
          </w:tcPr>
          <w:p>
            <w:pPr>
              <w:spacing w:before="40" w:after="40"/>
              <w:rPr>
                <w:rFonts w:hint="eastAsia" w:ascii="Times New Roman" w:hAnsi="Times New Roman" w:eastAsia="宋体" w:cs="Times New Roman"/>
                <w:b w:val="0"/>
                <w:bCs/>
                <w:kern w:val="2"/>
                <w:sz w:val="21"/>
                <w:szCs w:val="21"/>
                <w:lang w:val="de-DE" w:eastAsia="ja-JP" w:bidi="ar-SA"/>
              </w:rPr>
            </w:pPr>
            <w:r>
              <w:rPr>
                <w:rFonts w:ascii="宋体"/>
                <w:b w:val="0"/>
                <w:bCs/>
                <w:color w:val="000000"/>
                <w:szCs w:val="21"/>
              </w:rPr>
              <w:t>江苏宜格智能科技有限公司</w:t>
            </w:r>
            <w:r>
              <w:rPr>
                <w:rFonts w:hint="eastAsia" w:ascii="宋体"/>
                <w:b w:val="0"/>
                <w:bCs/>
                <w:color w:val="000000"/>
                <w:szCs w:val="21"/>
                <w:lang w:val="en-US" w:eastAsia="zh-CN"/>
              </w:rPr>
              <w:t>/</w:t>
            </w:r>
            <w:r>
              <w:rPr>
                <w:rFonts w:ascii="宋体"/>
                <w:b w:val="0"/>
                <w:bCs/>
                <w:color w:val="000000"/>
                <w:szCs w:val="21"/>
              </w:rPr>
              <w:t>宜兴市张渚镇新东路388号</w:t>
            </w:r>
          </w:p>
        </w:tc>
        <w:tc>
          <w:tcPr>
            <w:tcW w:w="1354" w:type="dxa"/>
            <w:vAlign w:val="top"/>
          </w:tcPr>
          <w:p>
            <w:pPr>
              <w:spacing w:before="40" w:after="40"/>
              <w:rPr>
                <w:rFonts w:ascii="Times New Roman" w:hAnsi="Times New Roman" w:eastAsia="黑体" w:cs="Times New Roman"/>
                <w:b w:val="0"/>
                <w:bCs/>
                <w:kern w:val="2"/>
                <w:sz w:val="21"/>
                <w:szCs w:val="21"/>
                <w:lang w:val="de-DE" w:eastAsia="ja-JP" w:bidi="ar-SA"/>
              </w:rPr>
            </w:pPr>
            <w:r>
              <w:rPr>
                <w:rFonts w:ascii="宋体"/>
                <w:b w:val="0"/>
                <w:bCs/>
                <w:color w:val="000000"/>
                <w:szCs w:val="21"/>
              </w:rPr>
              <w:t>江苏省宜兴市岳南路88号</w:t>
            </w:r>
          </w:p>
        </w:tc>
        <w:tc>
          <w:tcPr>
            <w:tcW w:w="1173" w:type="dxa"/>
            <w:vAlign w:val="center"/>
          </w:tcPr>
          <w:p>
            <w:pPr>
              <w:spacing w:before="40" w:after="40"/>
              <w:rPr>
                <w:rFonts w:hint="default" w:ascii="Times New Roman" w:hAnsi="Times New Roman" w:eastAsia="黑体" w:cs="Times New Roman"/>
                <w:b w:val="0"/>
                <w:bCs/>
                <w:kern w:val="2"/>
                <w:sz w:val="21"/>
                <w:szCs w:val="21"/>
                <w:lang w:val="en-US" w:eastAsia="ja-JP" w:bidi="ar-SA"/>
              </w:rPr>
            </w:pPr>
            <w:r>
              <w:rPr>
                <w:rFonts w:hint="eastAsia" w:eastAsia="黑体"/>
                <w:b w:val="0"/>
                <w:bCs/>
                <w:szCs w:val="21"/>
                <w:lang w:val="en-US" w:eastAsia="zh-CN"/>
              </w:rPr>
              <w:t>25人（能源体系25人）</w:t>
            </w:r>
          </w:p>
        </w:tc>
        <w:tc>
          <w:tcPr>
            <w:tcW w:w="2609" w:type="dxa"/>
            <w:vAlign w:val="center"/>
          </w:tcPr>
          <w:p>
            <w:pPr>
              <w:pStyle w:val="20"/>
              <w:rPr>
                <w:rFonts w:ascii="Times New Roman" w:hAnsi="Times New Roman" w:eastAsia="黑体" w:cs="Arial"/>
                <w:b w:val="0"/>
                <w:bCs/>
                <w:kern w:val="2"/>
                <w:sz w:val="21"/>
                <w:szCs w:val="21"/>
                <w:lang w:val="en-US" w:eastAsia="ja-JP" w:bidi="ar-SA"/>
              </w:rPr>
            </w:pPr>
            <w:r>
              <w:rPr>
                <w:rFonts w:ascii="宋体" w:hAnsi="Times New Roman" w:eastAsia="宋体" w:cs="Times New Roman"/>
                <w:b w:val="0"/>
                <w:bCs/>
                <w:color w:val="000000"/>
                <w:kern w:val="2"/>
                <w:sz w:val="21"/>
                <w:szCs w:val="21"/>
                <w:lang w:val="en-US" w:eastAsia="zh-CN" w:bidi="ar-SA"/>
              </w:rPr>
              <w:t>资质范围内电子与智能化工程施工专业承包、计算机软硬件的销售所涉及的能源管理活动</w:t>
            </w:r>
          </w:p>
        </w:tc>
        <w:tc>
          <w:tcPr>
            <w:tcW w:w="1751" w:type="dxa"/>
            <w:vAlign w:val="center"/>
          </w:tcPr>
          <w:p>
            <w:pPr>
              <w:spacing w:before="40" w:after="40"/>
              <w:rPr>
                <w:rFonts w:hint="eastAsia" w:eastAsia="黑体"/>
                <w:b w:val="0"/>
                <w:bCs/>
                <w:szCs w:val="21"/>
                <w:lang w:val="en-US" w:eastAsia="zh-CN"/>
              </w:rPr>
            </w:pPr>
            <w:r>
              <w:rPr>
                <w:rFonts w:hint="eastAsia" w:eastAsia="黑体"/>
                <w:b w:val="0"/>
                <w:bCs/>
                <w:szCs w:val="21"/>
                <w:lang w:val="en-US" w:eastAsia="zh-CN"/>
              </w:rPr>
              <w:t>GB/T23331-2020</w:t>
            </w:r>
          </w:p>
          <w:p>
            <w:pPr>
              <w:spacing w:before="40" w:after="40"/>
              <w:rPr>
                <w:rFonts w:hint="default" w:ascii="Times New Roman" w:hAnsi="Times New Roman" w:eastAsia="黑体" w:cs="Times New Roman"/>
                <w:b w:val="0"/>
                <w:bCs/>
                <w:kern w:val="2"/>
                <w:sz w:val="21"/>
                <w:szCs w:val="21"/>
                <w:lang w:val="en-US" w:eastAsia="ja-JP" w:bidi="ar-SA"/>
              </w:rPr>
            </w:pPr>
            <w:r>
              <w:rPr>
                <w:rFonts w:hint="eastAsia" w:eastAsia="黑体"/>
                <w:b w:val="0"/>
                <w:bCs/>
                <w:szCs w:val="21"/>
                <w:lang w:val="en-US" w:eastAsia="zh-CN"/>
              </w:rPr>
              <w:t>RB/T124-2018</w:t>
            </w:r>
          </w:p>
        </w:tc>
        <w:tc>
          <w:tcPr>
            <w:tcW w:w="668" w:type="dxa"/>
            <w:shd w:val="clear" w:color="auto" w:fill="FFFFFF"/>
            <w:vAlign w:val="top"/>
          </w:tcPr>
          <w:sdt>
            <w:sdtPr>
              <w:rPr>
                <w:rFonts w:hint="eastAsia" w:ascii="宋体" w:hAnsi="宋体" w:eastAsia="宋体" w:cs="宋体"/>
                <w:b w:val="0"/>
                <w:bCs/>
                <w:szCs w:val="21"/>
              </w:rPr>
              <w:id w:val="271604670"/>
            </w:sdtPr>
            <w:sdtEndPr>
              <w:rPr>
                <w:rFonts w:hint="eastAsia" w:ascii="宋体" w:hAnsi="宋体" w:eastAsia="黑体" w:cs="宋体"/>
                <w:b w:val="0"/>
                <w:bCs/>
                <w:szCs w:val="21"/>
              </w:rPr>
            </w:sdtEndPr>
            <w:sdtContent>
              <w:p>
                <w:pPr>
                  <w:rPr>
                    <w:rFonts w:hint="eastAsia" w:ascii="宋体" w:hAnsi="宋体" w:eastAsia="黑体" w:cs="宋体"/>
                    <w:b w:val="0"/>
                    <w:bCs/>
                    <w:szCs w:val="21"/>
                  </w:rPr>
                </w:pPr>
                <w:r>
                  <w:rPr>
                    <w:rFonts w:eastAsia="黑体"/>
                    <w:b w:val="0"/>
                    <w:bCs/>
                    <w:szCs w:val="21"/>
                  </w:rPr>
                  <w:t>■</w:t>
                </w:r>
              </w:p>
            </w:sdtContent>
          </w:sdt>
          <w:p>
            <w:pPr>
              <w:rPr>
                <w:rFonts w:ascii="Times New Roman" w:hAnsi="Times New Roman" w:eastAsia="黑体" w:cs="Times New Roman"/>
                <w:b w:val="0"/>
                <w:bCs/>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1690" w:type="dxa"/>
            <w:vAlign w:val="center"/>
          </w:tcPr>
          <w:p>
            <w:pPr>
              <w:rPr>
                <w:lang w:eastAsia="ja-JP"/>
              </w:rPr>
            </w:pPr>
          </w:p>
        </w:tc>
        <w:tc>
          <w:tcPr>
            <w:tcW w:w="1354" w:type="dxa"/>
            <w:vAlign w:val="center"/>
          </w:tcPr>
          <w:p>
            <w:pPr>
              <w:rPr>
                <w:lang w:eastAsia="ja-JP"/>
              </w:rPr>
            </w:pPr>
          </w:p>
        </w:tc>
        <w:tc>
          <w:tcPr>
            <w:tcW w:w="1173" w:type="dxa"/>
            <w:vAlign w:val="center"/>
          </w:tcPr>
          <w:p>
            <w:pPr>
              <w:rPr>
                <w:lang w:eastAsia="ja-JP"/>
              </w:rPr>
            </w:pPr>
          </w:p>
        </w:tc>
        <w:tc>
          <w:tcPr>
            <w:tcW w:w="2609" w:type="dxa"/>
            <w:vAlign w:val="center"/>
          </w:tcPr>
          <w:p>
            <w:pPr>
              <w:rPr>
                <w:lang w:eastAsia="ja-JP"/>
              </w:rPr>
            </w:pPr>
          </w:p>
        </w:tc>
        <w:tc>
          <w:tcPr>
            <w:tcW w:w="1751"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1690" w:type="dxa"/>
            <w:vAlign w:val="center"/>
          </w:tcPr>
          <w:p>
            <w:pPr>
              <w:rPr>
                <w:lang w:eastAsia="ja-JP"/>
              </w:rPr>
            </w:pPr>
          </w:p>
        </w:tc>
        <w:tc>
          <w:tcPr>
            <w:tcW w:w="1354" w:type="dxa"/>
            <w:vAlign w:val="center"/>
          </w:tcPr>
          <w:p>
            <w:pPr>
              <w:rPr>
                <w:lang w:eastAsia="ja-JP"/>
              </w:rPr>
            </w:pPr>
          </w:p>
        </w:tc>
        <w:tc>
          <w:tcPr>
            <w:tcW w:w="1173" w:type="dxa"/>
            <w:vAlign w:val="center"/>
          </w:tcPr>
          <w:p>
            <w:pPr>
              <w:rPr>
                <w:lang w:eastAsia="ja-JP"/>
              </w:rPr>
            </w:pPr>
          </w:p>
        </w:tc>
        <w:tc>
          <w:tcPr>
            <w:tcW w:w="2609" w:type="dxa"/>
            <w:vAlign w:val="center"/>
          </w:tcPr>
          <w:p>
            <w:pPr>
              <w:rPr>
                <w:lang w:eastAsia="ja-JP"/>
              </w:rPr>
            </w:pPr>
          </w:p>
        </w:tc>
        <w:tc>
          <w:tcPr>
            <w:tcW w:w="1751"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1690" w:type="dxa"/>
            <w:vAlign w:val="center"/>
          </w:tcPr>
          <w:p>
            <w:pPr>
              <w:rPr>
                <w:lang w:eastAsia="ja-JP"/>
              </w:rPr>
            </w:pPr>
          </w:p>
        </w:tc>
        <w:tc>
          <w:tcPr>
            <w:tcW w:w="1354" w:type="dxa"/>
            <w:vAlign w:val="center"/>
          </w:tcPr>
          <w:p>
            <w:pPr>
              <w:rPr>
                <w:lang w:eastAsia="ja-JP"/>
              </w:rPr>
            </w:pPr>
          </w:p>
        </w:tc>
        <w:tc>
          <w:tcPr>
            <w:tcW w:w="1173" w:type="dxa"/>
            <w:vAlign w:val="center"/>
          </w:tcPr>
          <w:p>
            <w:pPr>
              <w:rPr>
                <w:lang w:eastAsia="ja-JP"/>
              </w:rPr>
            </w:pPr>
          </w:p>
        </w:tc>
        <w:tc>
          <w:tcPr>
            <w:tcW w:w="2609" w:type="dxa"/>
            <w:vAlign w:val="center"/>
          </w:tcPr>
          <w:p>
            <w:pPr>
              <w:rPr>
                <w:lang w:eastAsia="ja-JP"/>
              </w:rPr>
            </w:pPr>
          </w:p>
        </w:tc>
        <w:tc>
          <w:tcPr>
            <w:tcW w:w="1751"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1690" w:type="dxa"/>
            <w:vAlign w:val="center"/>
          </w:tcPr>
          <w:p>
            <w:pPr>
              <w:rPr>
                <w:lang w:eastAsia="ja-JP"/>
              </w:rPr>
            </w:pPr>
          </w:p>
        </w:tc>
        <w:tc>
          <w:tcPr>
            <w:tcW w:w="1354" w:type="dxa"/>
            <w:vAlign w:val="center"/>
          </w:tcPr>
          <w:p>
            <w:pPr>
              <w:rPr>
                <w:lang w:eastAsia="ja-JP"/>
              </w:rPr>
            </w:pPr>
          </w:p>
        </w:tc>
        <w:tc>
          <w:tcPr>
            <w:tcW w:w="1173" w:type="dxa"/>
            <w:vAlign w:val="center"/>
          </w:tcPr>
          <w:p>
            <w:pPr>
              <w:rPr>
                <w:lang w:eastAsia="ja-JP"/>
              </w:rPr>
            </w:pPr>
          </w:p>
        </w:tc>
        <w:tc>
          <w:tcPr>
            <w:tcW w:w="2609" w:type="dxa"/>
            <w:vAlign w:val="center"/>
          </w:tcPr>
          <w:p>
            <w:pPr>
              <w:rPr>
                <w:lang w:eastAsia="ja-JP"/>
              </w:rPr>
            </w:pPr>
          </w:p>
        </w:tc>
        <w:tc>
          <w:tcPr>
            <w:tcW w:w="1751"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rPr>
          <w:rFonts w:hint="default" w:eastAsiaTheme="minorEastAsia"/>
          <w:lang w:val="en-US" w:eastAsia="zh-CN"/>
        </w:rPr>
      </w:pPr>
      <w:r>
        <w:rPr>
          <w:rFonts w:hint="eastAsia"/>
        </w:rPr>
        <w:t>四、</w:t>
      </w:r>
      <w:r>
        <w:t>对偏离审核计划情况</w:t>
      </w:r>
      <w:r>
        <w:rPr>
          <w:rFonts w:hint="eastAsia"/>
        </w:rPr>
        <w:t>及理由</w:t>
      </w:r>
      <w:r>
        <w:t>，包括对审核风险及影响审核结论的不确定性的客观陈述。</w:t>
      </w:r>
      <w:r>
        <w:rPr>
          <w:rFonts w:hint="eastAsia"/>
          <w:lang w:val="en-US" w:eastAsia="zh-CN"/>
        </w:rPr>
        <w:t>见审核计划偏离情况说明。</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sym w:font="Wingdings 2" w:char="00A3"/>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sym w:font="Wingdings 2" w:char="0052"/>
            </w:r>
            <w:r>
              <w:rPr>
                <w:rFonts w:hint="eastAsia"/>
              </w:rPr>
              <w:t>审核计划有修改，但不会影响审核结论。</w:t>
            </w:r>
          </w:p>
          <w:p>
            <w:pPr>
              <w:rPr>
                <w:rFonts w:hint="eastAsia" w:eastAsia="宋体"/>
                <w:lang w:val="en-US" w:eastAsia="zh-CN"/>
              </w:rPr>
            </w:pPr>
            <w:r>
              <w:rPr>
                <w:rFonts w:hint="eastAsia"/>
              </w:rPr>
              <w:t>修改的内容和原因是：</w:t>
            </w:r>
            <w:r>
              <w:rPr>
                <w:rFonts w:hint="eastAsia"/>
                <w:lang w:val="en-US" w:eastAsia="zh-CN"/>
              </w:rPr>
              <w:t>疫情</w:t>
            </w:r>
          </w:p>
        </w:tc>
        <w:tc>
          <w:tcPr>
            <w:tcW w:w="5761" w:type="dxa"/>
          </w:tcPr>
          <w:p>
            <w:pPr>
              <w:rPr>
                <w:rFonts w:hint="eastAsia"/>
              </w:rPr>
            </w:pPr>
            <w:r>
              <w:rPr>
                <w:rFonts w:hint="eastAsia"/>
              </w:rPr>
              <w:t>□人员调整□多场所调整</w:t>
            </w:r>
            <w:r>
              <w:rPr>
                <w:rFonts w:hint="eastAsia"/>
                <w:lang w:val="en-US" w:eastAsia="zh-CN"/>
              </w:rPr>
              <w:t xml:space="preserve">  </w:t>
            </w:r>
            <w:r>
              <w:rPr>
                <w:rFonts w:hint="eastAsia"/>
              </w:rPr>
              <w:sym w:font="Wingdings 2" w:char="0052"/>
            </w:r>
            <w:r>
              <w:rPr>
                <w:rFonts w:hint="eastAsia"/>
                <w:lang w:val="en-US" w:eastAsia="zh-CN"/>
              </w:rPr>
              <w:t>部分审核员审核</w:t>
            </w:r>
            <w:r>
              <w:rPr>
                <w:rFonts w:hint="eastAsia"/>
              </w:rPr>
              <w:t>场所临时调整</w:t>
            </w:r>
          </w:p>
          <w:p>
            <w:r>
              <w:rPr>
                <w:rFonts w:hint="eastAsia"/>
              </w:rPr>
              <w:t>□缩小认证范围□其他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李丽英</w:t>
            </w:r>
          </w:p>
        </w:tc>
        <w:tc>
          <w:tcPr>
            <w:tcW w:w="1089" w:type="dxa"/>
            <w:vAlign w:val="center"/>
          </w:tcPr>
          <w:p>
            <w:r>
              <w:t>组长</w:t>
            </w:r>
          </w:p>
        </w:tc>
        <w:tc>
          <w:tcPr>
            <w:tcW w:w="711" w:type="dxa"/>
            <w:vAlign w:val="center"/>
          </w:tcPr>
          <w:p>
            <w:r>
              <w:t>女</w:t>
            </w:r>
          </w:p>
        </w:tc>
        <w:tc>
          <w:tcPr>
            <w:tcW w:w="3870" w:type="dxa"/>
            <w:vAlign w:val="center"/>
          </w:tcPr>
          <w:p>
            <w:r>
              <w:t>2020-N1EnMS-3021820</w:t>
            </w:r>
          </w:p>
        </w:tc>
        <w:tc>
          <w:tcPr>
            <w:tcW w:w="2179" w:type="dxa"/>
            <w:vAlign w:val="center"/>
          </w:tcPr>
          <w:p>
            <w:r>
              <w:t>2.10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张静</w:t>
            </w:r>
          </w:p>
        </w:tc>
        <w:tc>
          <w:tcPr>
            <w:tcW w:w="1089" w:type="dxa"/>
            <w:vAlign w:val="center"/>
          </w:tcPr>
          <w:p>
            <w:r>
              <w:t>组员</w:t>
            </w:r>
          </w:p>
        </w:tc>
        <w:tc>
          <w:tcPr>
            <w:tcW w:w="711" w:type="dxa"/>
            <w:vAlign w:val="center"/>
          </w:tcPr>
          <w:p>
            <w:r>
              <w:t>女</w:t>
            </w:r>
          </w:p>
        </w:tc>
        <w:tc>
          <w:tcPr>
            <w:tcW w:w="3870" w:type="dxa"/>
            <w:vAlign w:val="center"/>
          </w:tcPr>
          <w:p>
            <w:r>
              <w:t>2021-N1EnMS-1011923</w:t>
            </w:r>
          </w:p>
        </w:tc>
        <w:tc>
          <w:tcPr>
            <w:tcW w:w="2179" w:type="dxa"/>
            <w:vAlign w:val="center"/>
          </w:tcPr>
          <w:p>
            <w:r>
              <w:t>2.10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pPr>
        <w:rPr>
          <w:lang w:eastAsia="ja-JP"/>
        </w:rPr>
      </w:pPr>
    </w:p>
    <w:p/>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（见□QMS □EcMS□EMS□OHSMS</w:t>
      </w:r>
      <w:r>
        <w:rPr>
          <w:rFonts w:hint="eastAsia"/>
        </w:rPr>
        <w:sym w:font="Wingdings 2" w:char="0052"/>
      </w:r>
      <w:r>
        <w:rPr>
          <w:rFonts w:hint="eastAsia"/>
        </w:rPr>
        <w:t>EnMS□FSMS□HACCP的附件）</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sym w:font="Wingdings 2" w:char="0052"/>
            </w:r>
            <w:r>
              <w:rPr>
                <w:rFonts w:hint="eastAsia"/>
              </w:rPr>
              <w:t>体系建立以来□定期（近一年）□其他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已整改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EnMS</w:t>
            </w:r>
          </w:p>
        </w:tc>
        <w:tc>
          <w:tcPr>
            <w:tcW w:w="1698" w:type="dxa"/>
          </w:tcPr>
          <w:p>
            <w:pPr>
              <w:rPr>
                <w:rFonts w:hint="default" w:eastAsia="宋体"/>
                <w:lang w:val="en-US" w:eastAsia="zh-CN"/>
              </w:rPr>
            </w:pPr>
            <w:r>
              <w:rPr>
                <w:rFonts w:hint="eastAsia"/>
                <w:lang w:val="en-US" w:eastAsia="zh-CN"/>
              </w:rPr>
              <w:t>0</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0</w:t>
            </w: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EnMS基本满足GB/T23331-2020/ISO50001:2018标准的要求，建立了自我完善机制，能源管理体系运行基本有效。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EnMS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sym w:font="Wingdings 2" w:char="0052"/>
            </w:r>
            <w:r>
              <w:rPr>
                <w:rFonts w:hint="eastAsia"/>
              </w:rPr>
              <w:t>推荐认证注册(</w:t>
            </w:r>
            <w:r>
              <w:rPr>
                <w:rFonts w:hint="eastAsia"/>
              </w:rPr>
              <w:sym w:font="Wingdings 2" w:char="0052"/>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sym w:font="Wingdings 2" w:char="00A3"/>
            </w:r>
            <w:r>
              <w:rPr>
                <w:rFonts w:hint="eastAsia"/>
              </w:rPr>
              <w:t>在完成纠正措施后推荐认证注册(</w:t>
            </w:r>
            <w:r>
              <w:rPr>
                <w:rFonts w:hint="eastAsia"/>
              </w:rPr>
              <w:sym w:font="Wingdings 2" w:char="0052"/>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rFonts w:hint="default" w:eastAsia="宋体"/>
                <w:color w:val="0000FF"/>
                <w:lang w:val="en-US" w:eastAsia="zh-CN"/>
              </w:rPr>
            </w:pPr>
            <w:r>
              <w:rPr>
                <w:rFonts w:hint="eastAsia" w:ascii="宋体" w:hAnsi="宋体"/>
                <w:b/>
                <w:color w:val="0000FF"/>
                <w:spacing w:val="-10"/>
                <w:szCs w:val="21"/>
              </w:rPr>
              <w:sym w:font="Wingdings 2" w:char="0052"/>
            </w:r>
            <w:r>
              <w:rPr>
                <w:rFonts w:hint="eastAsia" w:ascii="宋体" w:hAnsi="宋体"/>
                <w:b/>
                <w:color w:val="0000FF"/>
                <w:spacing w:val="-10"/>
                <w:szCs w:val="21"/>
              </w:rPr>
              <w:t>远程审核已达到审核目的，可以推荐注册/保持/再注册</w:t>
            </w:r>
            <w:r>
              <w:rPr>
                <w:rFonts w:hint="eastAsia" w:ascii="宋体" w:hAnsi="宋体"/>
                <w:b/>
                <w:color w:val="0000FF"/>
                <w:spacing w:val="-10"/>
                <w:szCs w:val="21"/>
                <w:lang w:eastAsia="zh-CN"/>
              </w:rPr>
              <w:t>——</w:t>
            </w:r>
            <w:r>
              <w:rPr>
                <w:rFonts w:hint="eastAsia" w:ascii="宋体" w:hAnsi="宋体"/>
                <w:b/>
                <w:color w:val="0000FF"/>
                <w:spacing w:val="-10"/>
                <w:szCs w:val="21"/>
                <w:lang w:val="en-US" w:eastAsia="zh-CN"/>
              </w:rPr>
              <w:t>29日因疫情原因，A审核员临时变更为远程审核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r>
              <w:rPr>
                <w:rFonts w:hint="eastAsia" w:eastAsia="宋体"/>
                <w:sz w:val="21"/>
                <w:szCs w:val="21"/>
                <w:lang w:eastAsia="zh-CN"/>
              </w:rPr>
              <w:drawing>
                <wp:anchor distT="0" distB="0" distL="114300" distR="114300" simplePos="0" relativeHeight="251664384" behindDoc="0" locked="0" layoutInCell="1" allowOverlap="1">
                  <wp:simplePos x="0" y="0"/>
                  <wp:positionH relativeFrom="column">
                    <wp:posOffset>106045</wp:posOffset>
                  </wp:positionH>
                  <wp:positionV relativeFrom="paragraph">
                    <wp:posOffset>46990</wp:posOffset>
                  </wp:positionV>
                  <wp:extent cx="982345" cy="319405"/>
                  <wp:effectExtent l="0" t="0" r="0" b="10795"/>
                  <wp:wrapSquare wrapText="bothSides"/>
                  <wp:docPr id="5" name="图片 5" descr="李丽英电子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李丽英电子签"/>
                          <pic:cNvPicPr>
                            <a:picLocks noChangeAspect="1"/>
                          </pic:cNvPicPr>
                        </pic:nvPicPr>
                        <pic:blipFill>
                          <a:blip r:embed="rId6"/>
                          <a:stretch>
                            <a:fillRect/>
                          </a:stretch>
                        </pic:blipFill>
                        <pic:spPr>
                          <a:xfrm>
                            <a:off x="0" y="0"/>
                            <a:ext cx="982345" cy="319405"/>
                          </a:xfrm>
                          <a:prstGeom prst="rect">
                            <a:avLst/>
                          </a:prstGeom>
                        </pic:spPr>
                      </pic:pic>
                    </a:graphicData>
                  </a:graphic>
                </wp:anchor>
              </w:drawing>
            </w: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2022.8.29</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shd w:val="clear" w:color="auto" w:fill="EBF1DE" w:themeFill="accent3" w:themeFillTint="32"/>
      </w:pPr>
      <w:r>
        <w:t>附件</w:t>
      </w:r>
      <w:r>
        <w:rPr>
          <w:rFonts w:hint="eastAsia"/>
        </w:rPr>
        <w:t>GB/T 23331-2020/</w:t>
      </w:r>
      <w:r>
        <w:t>ISO</w:t>
      </w:r>
      <w:r>
        <w:rPr>
          <w:rFonts w:hint="eastAsia"/>
        </w:rPr>
        <w:t xml:space="preserve"> 50</w:t>
      </w:r>
      <w:r>
        <w:t>001:201</w:t>
      </w:r>
      <w:r>
        <w:rPr>
          <w:rFonts w:hint="eastAsia"/>
        </w:rPr>
        <w:t>8</w:t>
      </w:r>
      <w:r>
        <w:t xml:space="preserve"> (若不是</w:t>
      </w:r>
      <w:r>
        <w:rPr>
          <w:rFonts w:hint="eastAsia"/>
        </w:rPr>
        <w:t>GB/T 23331-2020/</w:t>
      </w:r>
      <w:r>
        <w:t>ISO</w:t>
      </w:r>
      <w:r>
        <w:rPr>
          <w:rFonts w:hint="eastAsia"/>
        </w:rPr>
        <w:t>50</w:t>
      </w:r>
      <w:r>
        <w:t>001:201</w:t>
      </w:r>
      <w:r>
        <w:rPr>
          <w:rFonts w:hint="eastAsia"/>
        </w:rPr>
        <w:t>8</w:t>
      </w:r>
      <w:r>
        <w:t>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sym w:font="Wingdings 2" w:char="0052"/>
            </w:r>
            <w:r>
              <w:rPr>
                <w:rFonts w:hint="eastAsia"/>
              </w:rPr>
              <w:t>EnMS体系建立以来□定期（近一年）□其他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列举影响企业战略的主要能源消耗（不必全选）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rPr>
                    <w:sym w:font="Wingdings 2" w:char="0052"/>
                  </w:r>
                  <w:r>
                    <w:rPr>
                      <w:rFonts w:hint="eastAsia"/>
                    </w:rPr>
                    <w:t>法律法规</w:t>
                  </w:r>
                  <w:r>
                    <w:rPr>
                      <w:rFonts w:hint="eastAsia"/>
                    </w:rPr>
                    <w:sym w:font="Wingdings 2" w:char="0052"/>
                  </w:r>
                  <w:r>
                    <w:rPr>
                      <w:rFonts w:hint="eastAsia"/>
                    </w:rPr>
                    <w:t>技术</w:t>
                  </w:r>
                  <w:r>
                    <w:rPr>
                      <w:rFonts w:hint="eastAsia"/>
                    </w:rPr>
                    <w:sym w:font="Wingdings 2" w:char="0052"/>
                  </w:r>
                  <w:r>
                    <w:rPr>
                      <w:rFonts w:hint="eastAsia"/>
                    </w:rPr>
                    <w:t>竞争</w:t>
                  </w:r>
                  <w:r>
                    <w:rPr>
                      <w:rFonts w:hint="eastAsia"/>
                    </w:rPr>
                    <w:sym w:font="Wingdings 2" w:char="0052"/>
                  </w:r>
                  <w:r>
                    <w:rPr>
                      <w:rFonts w:hint="eastAsia"/>
                    </w:rPr>
                    <w:t>市场</w:t>
                  </w:r>
                  <w:r>
                    <w:rPr>
                      <w:rFonts w:hint="eastAsia"/>
                    </w:rPr>
                    <w:sym w:font="Wingdings 2" w:char="0052"/>
                  </w:r>
                  <w:r>
                    <w:rPr>
                      <w:rFonts w:hint="eastAsia"/>
                    </w:rPr>
                    <w:t>文化</w:t>
                  </w:r>
                  <w:r>
                    <w:rPr>
                      <w:rFonts w:hint="eastAsia"/>
                    </w:rPr>
                    <w:sym w:font="Wingdings 2" w:char="0052"/>
                  </w:r>
                  <w:r>
                    <w:rPr>
                      <w:rFonts w:hint="eastAsia"/>
                    </w:rPr>
                    <w:t>社会</w:t>
                  </w:r>
                  <w:r>
                    <w:rPr>
                      <w:rFonts w:hint="eastAsia"/>
                    </w:rPr>
                    <w:sym w:font="Wingdings 2" w:char="0052"/>
                  </w:r>
                  <w:r>
                    <w:rPr>
                      <w:rFonts w:hint="eastAsia"/>
                    </w:rPr>
                    <w:t>经济环境</w:t>
                  </w:r>
                </w:p>
                <w:p>
                  <w:pPr>
                    <w:shd w:val="clear" w:color="auto" w:fill="EBF1DE" w:themeFill="accent3" w:themeFillTint="32"/>
                  </w:pPr>
                  <w:r>
                    <w:rPr>
                      <w:rFonts w:hint="eastAsia"/>
                    </w:rPr>
                    <w:sym w:font="Wingdings 2" w:char="0052"/>
                  </w:r>
                  <w:r>
                    <w:rPr>
                      <w:rFonts w:hint="eastAsia"/>
                    </w:rPr>
                    <w:t>政治</w:t>
                  </w:r>
                  <w:r>
                    <w:rPr>
                      <w:rFonts w:hint="eastAsia"/>
                    </w:rPr>
                    <w:sym w:font="Wingdings 2" w:char="0052"/>
                  </w:r>
                  <w:r>
                    <w:rPr>
                      <w:rFonts w:hint="eastAsia"/>
                    </w:rPr>
                    <w:t>监管</w:t>
                  </w:r>
                  <w:r>
                    <w:rPr>
                      <w:rFonts w:hint="eastAsia"/>
                    </w:rPr>
                    <w:sym w:font="Wingdings 2" w:char="0052"/>
                  </w:r>
                  <w:r>
                    <w:rPr>
                      <w:rFonts w:hint="eastAsia"/>
                    </w:rPr>
                    <w:t>财务</w:t>
                  </w:r>
                  <w:r>
                    <w:rPr>
                      <w:rFonts w:hint="eastAsia"/>
                    </w:rPr>
                    <w:sym w:font="Wingdings 2" w:char="0052"/>
                  </w:r>
                  <w:r>
                    <w:rPr>
                      <w:rFonts w:hint="eastAsia"/>
                    </w:rPr>
                    <w:t>自然环境□其他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rPr>
                    <w:sym w:font="Wingdings 2" w:char="0052"/>
                  </w:r>
                  <w:r>
                    <w:rPr>
                      <w:rFonts w:hint="eastAsia"/>
                    </w:rPr>
                    <w:t>价值观</w:t>
                  </w:r>
                  <w:r>
                    <w:rPr>
                      <w:rFonts w:hint="eastAsia"/>
                    </w:rPr>
                    <w:sym w:font="Wingdings 2" w:char="0052"/>
                  </w:r>
                  <w:r>
                    <w:rPr>
                      <w:rFonts w:hint="eastAsia"/>
                    </w:rPr>
                    <w:t>文化</w:t>
                  </w:r>
                  <w:r>
                    <w:rPr>
                      <w:rFonts w:hint="eastAsia"/>
                    </w:rPr>
                    <w:sym w:font="Wingdings 2" w:char="0052"/>
                  </w:r>
                  <w:r>
                    <w:rPr>
                      <w:rFonts w:hint="eastAsia"/>
                    </w:rPr>
                    <w:t>知识</w:t>
                  </w:r>
                  <w:r>
                    <w:rPr>
                      <w:rFonts w:hint="eastAsia"/>
                    </w:rPr>
                    <w:sym w:font="Wingdings 2" w:char="0052"/>
                  </w:r>
                  <w:r>
                    <w:rPr>
                      <w:rFonts w:hint="eastAsia"/>
                    </w:rPr>
                    <w:t>绩效</w:t>
                  </w:r>
                  <w:r>
                    <w:rPr>
                      <w:rFonts w:hint="eastAsia"/>
                    </w:rPr>
                    <w:sym w:font="Wingdings 2" w:char="0052"/>
                  </w:r>
                  <w:r>
                    <w:rPr>
                      <w:rFonts w:hint="eastAsia"/>
                    </w:rPr>
                    <w:t>工艺</w:t>
                  </w:r>
                  <w:r>
                    <w:rPr>
                      <w:rFonts w:hint="eastAsia"/>
                    </w:rPr>
                    <w:sym w:font="Wingdings 2" w:char="0052"/>
                  </w:r>
                  <w:r>
                    <w:rPr>
                      <w:rFonts w:hint="eastAsia"/>
                    </w:rPr>
                    <w:t>设备</w:t>
                  </w:r>
                  <w:r>
                    <w:rPr>
                      <w:rFonts w:hint="eastAsia"/>
                    </w:rPr>
                    <w:sym w:font="Wingdings 2" w:char="0052"/>
                  </w:r>
                  <w:r>
                    <w:rPr>
                      <w:rFonts w:hint="eastAsia"/>
                    </w:rPr>
                    <w:t>人员能力</w:t>
                  </w:r>
                </w:p>
                <w:p>
                  <w:pPr>
                    <w:shd w:val="clear" w:color="auto" w:fill="EBF1DE" w:themeFill="accent3" w:themeFillTint="32"/>
                  </w:pPr>
                  <w:r>
                    <w:rPr>
                      <w:rFonts w:hint="eastAsia"/>
                    </w:rPr>
                    <w:sym w:font="Wingdings 2" w:char="0052"/>
                  </w:r>
                  <w:r>
                    <w:rPr>
                      <w:rFonts w:hint="eastAsia"/>
                    </w:rPr>
                    <w:t>活动、产品和服务</w:t>
                  </w:r>
                  <w:r>
                    <w:rPr>
                      <w:rFonts w:hint="eastAsia"/>
                    </w:rPr>
                    <w:sym w:font="Wingdings 2" w:char="0052"/>
                  </w:r>
                  <w:r>
                    <w:rPr>
                      <w:rFonts w:hint="eastAsia"/>
                    </w:rPr>
                    <w:t>战略方向□其他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确定了与相关管理体系有关的相关方及需求和希望；监视和评审了相关方的相关信息。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重要的相关方</w:t>
                  </w:r>
                </w:p>
              </w:tc>
              <w:tc>
                <w:tcPr>
                  <w:tcW w:w="6912" w:type="dxa"/>
                </w:tcPr>
                <w:p>
                  <w:pPr>
                    <w:shd w:val="clear" w:color="auto" w:fill="EBF1DE" w:themeFill="accent3" w:themeFillTint="32"/>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主管部门</w:t>
                  </w:r>
                </w:p>
              </w:tc>
              <w:tc>
                <w:tcPr>
                  <w:tcW w:w="6912" w:type="dxa"/>
                </w:tcPr>
                <w:p>
                  <w:pPr>
                    <w:shd w:val="clear" w:color="auto" w:fill="EBF1DE" w:themeFill="accent3" w:themeFillTint="32"/>
                  </w:pPr>
                  <w:r>
                    <w:rPr>
                      <w:rFonts w:hint="eastAsia"/>
                    </w:rPr>
                    <w:t>遵守能源相关的法律法规、能源限额标准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供方</w:t>
                  </w:r>
                </w:p>
              </w:tc>
              <w:tc>
                <w:tcPr>
                  <w:tcW w:w="6912" w:type="dxa"/>
                </w:tcPr>
                <w:p>
                  <w:pPr>
                    <w:shd w:val="clear" w:color="auto" w:fill="EBF1DE" w:themeFill="accent3" w:themeFillTint="32"/>
                  </w:pPr>
                  <w:r>
                    <w:rPr>
                      <w:rFonts w:hint="eastAsia"/>
                    </w:rPr>
                    <w:t>组织的持续经营、明示采购的节能要求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顾客</w:t>
                  </w:r>
                </w:p>
              </w:tc>
              <w:tc>
                <w:tcPr>
                  <w:tcW w:w="6912" w:type="dxa"/>
                </w:tcPr>
                <w:p>
                  <w:pPr>
                    <w:shd w:val="clear" w:color="auto" w:fill="EBF1DE" w:themeFill="accent3" w:themeFillTint="32"/>
                  </w:pPr>
                  <w:r>
                    <w:rPr>
                      <w:rFonts w:hint="eastAsia"/>
                    </w:rPr>
                    <w:t>持续经营，不因能源使用违规停产；按时交付产品或服务；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社区</w:t>
                  </w:r>
                </w:p>
              </w:tc>
              <w:tc>
                <w:tcPr>
                  <w:tcW w:w="6912" w:type="dxa"/>
                </w:tcPr>
                <w:p>
                  <w:pPr>
                    <w:shd w:val="clear" w:color="auto" w:fill="EBF1DE" w:themeFill="accent3" w:themeFillTint="32"/>
                  </w:pPr>
                  <w:r>
                    <w:rPr>
                      <w:rFonts w:hint="eastAsia"/>
                    </w:rPr>
                    <w:t>遵守相关的法律法规、节能减排；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投资方</w:t>
                  </w:r>
                </w:p>
              </w:tc>
              <w:tc>
                <w:tcPr>
                  <w:tcW w:w="6912" w:type="dxa"/>
                </w:tcPr>
                <w:p>
                  <w:pPr>
                    <w:shd w:val="clear" w:color="auto" w:fill="EBF1DE" w:themeFill="accent3" w:themeFillTint="32"/>
                  </w:pPr>
                  <w:r>
                    <w:rPr>
                      <w:rFonts w:hint="eastAsia"/>
                    </w:rPr>
                    <w:t>组织的持续经营、盈利；降低成本（能源消耗）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组织明确相关能源管理体系的范围；（详见第一条款审核范围）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为实现组织的预期结果，包括提高其能源绩效，组织根据本标准的要求建立、实施、保持并持续改进能源管理体系，包括所需的过程及其相互作用。</w:t>
            </w:r>
          </w:p>
          <w:p>
            <w:pPr>
              <w:shd w:val="clear" w:color="auto" w:fill="EBF1DE" w:themeFill="accent3" w:themeFillTint="32"/>
              <w:spacing w:before="40" w:after="40"/>
            </w:pPr>
            <w:r>
              <w:rPr>
                <w:rFonts w:hint="eastAsia"/>
              </w:rPr>
              <w:t>已将能源管理体系要求融入到其各项业务过程中，包括：</w:t>
            </w:r>
          </w:p>
          <w:p>
            <w:pPr>
              <w:shd w:val="clear" w:color="auto" w:fill="EBF1DE" w:themeFill="accent3" w:themeFillTint="32"/>
              <w:spacing w:before="40" w:after="40"/>
            </w:pPr>
            <w:r>
              <w:rPr>
                <w:rFonts w:hint="eastAsia"/>
              </w:rPr>
              <w:sym w:font="Wingdings 2" w:char="0052"/>
            </w:r>
            <w:r>
              <w:rPr>
                <w:rFonts w:hint="eastAsia"/>
              </w:rPr>
              <w:t>设计和开发</w:t>
            </w:r>
            <w:r>
              <w:rPr>
                <w:rFonts w:hint="eastAsia"/>
              </w:rPr>
              <w:sym w:font="Wingdings 2" w:char="0052"/>
            </w:r>
            <w:r>
              <w:rPr>
                <w:rFonts w:hint="eastAsia"/>
              </w:rPr>
              <w:t>采购</w:t>
            </w:r>
            <w:r>
              <w:rPr>
                <w:rFonts w:hint="eastAsia"/>
              </w:rPr>
              <w:sym w:font="Wingdings 2" w:char="0052"/>
            </w:r>
            <w:r>
              <w:rPr>
                <w:rFonts w:hint="eastAsia"/>
              </w:rPr>
              <w:t>人力资源</w:t>
            </w:r>
            <w:r>
              <w:rPr>
                <w:rFonts w:hint="eastAsia"/>
              </w:rPr>
              <w:sym w:font="Wingdings 2" w:char="0052"/>
            </w:r>
            <w:r>
              <w:rPr>
                <w:rFonts w:hint="eastAsia"/>
              </w:rPr>
              <w:t>营销和市场</w:t>
            </w:r>
            <w:r>
              <w:rPr>
                <w:rFonts w:hint="eastAsia"/>
              </w:rPr>
              <w:sym w:font="Wingdings 2" w:char="0052"/>
            </w:r>
            <w:r>
              <w:rPr>
                <w:rFonts w:hint="eastAsia"/>
              </w:rPr>
              <w:t>生产</w:t>
            </w:r>
            <w:r>
              <w:rPr>
                <w:rFonts w:hint="eastAsia"/>
              </w:rPr>
              <w:sym w:font="Wingdings 2" w:char="0052"/>
            </w:r>
            <w:r>
              <w:rPr>
                <w:rFonts w:hint="eastAsia"/>
              </w:rPr>
              <w:t>检验</w:t>
            </w:r>
            <w:r>
              <w:rPr>
                <w:rFonts w:hint="eastAsia"/>
              </w:rPr>
              <w:sym w:font="Wingdings 2" w:char="0052"/>
            </w:r>
            <w:r>
              <w:rPr>
                <w:rFonts w:hint="eastAsia"/>
              </w:rPr>
              <w:t>设备管理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rPr>
              <w:sym w:font="Wingdings 2" w:char="0052"/>
            </w:r>
            <w:r>
              <w:rPr>
                <w:rFonts w:hint="eastAsia"/>
              </w:rPr>
              <w:t>节约能源</w:t>
            </w:r>
            <w:r>
              <w:rPr>
                <w:rFonts w:hint="eastAsia"/>
              </w:rPr>
              <w:sym w:font="Wingdings 2" w:char="0052"/>
            </w:r>
            <w:r>
              <w:rPr>
                <w:rFonts w:hint="eastAsia"/>
              </w:rPr>
              <w:t>节约资源□满足限额要求</w:t>
            </w:r>
            <w:r>
              <w:rPr>
                <w:rFonts w:hint="eastAsia"/>
              </w:rPr>
              <w:sym w:font="Wingdings 2" w:char="0052"/>
            </w:r>
            <w:r>
              <w:rPr>
                <w:rFonts w:hint="eastAsia"/>
              </w:rPr>
              <w:t>主要用能设备管理</w:t>
            </w:r>
            <w:r>
              <w:rPr>
                <w:rFonts w:hint="eastAsia"/>
              </w:rPr>
              <w:sym w:font="Wingdings 2" w:char="00A3"/>
            </w:r>
            <w:r>
              <w:rPr>
                <w:rFonts w:hint="eastAsia"/>
              </w:rPr>
              <w:t>能耗测量</w:t>
            </w:r>
          </w:p>
          <w:p>
            <w:pPr>
              <w:shd w:val="clear" w:color="auto" w:fill="EBF1DE" w:themeFill="accent3" w:themeFillTint="32"/>
              <w:spacing w:before="40" w:after="40"/>
            </w:pPr>
            <w:r>
              <w:rPr>
                <w:rFonts w:hint="eastAsia"/>
              </w:rPr>
              <w:t>□节能评估□其他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sym w:font="Wingdings 2" w:char="0052"/>
            </w:r>
            <w:r>
              <w:rPr>
                <w:rFonts w:hint="eastAsia"/>
              </w:rPr>
              <w:t>生产/服务过程</w:t>
            </w:r>
            <w:r>
              <w:rPr>
                <w:rFonts w:hint="eastAsia"/>
              </w:rPr>
              <w:sym w:font="Wingdings 2" w:char="00A3"/>
            </w:r>
            <w:r>
              <w:rPr>
                <w:rFonts w:hint="eastAsia"/>
              </w:rPr>
              <w:t>能效监测</w:t>
            </w:r>
            <w:r>
              <w:rPr>
                <w:rFonts w:hint="eastAsia"/>
              </w:rPr>
              <w:sym w:font="Wingdings 2" w:char="00A3"/>
            </w:r>
            <w:r>
              <w:rPr>
                <w:rFonts w:hint="eastAsia"/>
              </w:rPr>
              <w:t>设备维修</w:t>
            </w:r>
            <w:r>
              <w:rPr>
                <w:rFonts w:hint="eastAsia"/>
              </w:rPr>
              <w:sym w:font="Wingdings 2" w:char="0052"/>
            </w:r>
            <w:r>
              <w:rPr>
                <w:rFonts w:hint="eastAsia"/>
              </w:rPr>
              <w:t>人员培训□其他</w:t>
            </w:r>
          </w:p>
          <w:p>
            <w:pPr>
              <w:shd w:val="clear" w:color="auto" w:fill="EBF1DE" w:themeFill="accent3" w:themeFillTint="32"/>
            </w:pPr>
            <w:r>
              <w:rPr>
                <w:rFonts w:hint="eastAsia"/>
                <w:lang w:val="en-GB"/>
              </w:rPr>
              <w:t>组织通过</w:t>
            </w:r>
            <w:r>
              <w:rPr>
                <w:rFonts w:hint="eastAsia"/>
              </w:rPr>
              <w:t>节能</w:t>
            </w:r>
            <w:r>
              <w:rPr>
                <w:rFonts w:hint="eastAsia"/>
                <w:lang w:val="en-GB"/>
              </w:rPr>
              <w:t>目标的建立、实施、内审和管理评审等方式，充分地</w:t>
            </w:r>
            <w:r>
              <w:rPr>
                <w:rFonts w:hint="eastAsia"/>
              </w:rPr>
              <w:t>评审，管理及</w:t>
            </w:r>
            <w:r>
              <w:rPr>
                <w:rFonts w:hint="eastAsia"/>
                <w:lang w:val="en-GB"/>
              </w:rPr>
              <w:t>控制这些</w:t>
            </w:r>
            <w:r>
              <w:rPr>
                <w:rFonts w:hint="eastAsia"/>
              </w:rPr>
              <w:t>能源管理体系覆盖的过程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最高管理者确定并证实了对能源管理体系的领导作用与承诺；为了证明领导作用和承诺，最高管理者负有能源管理体系有关的特定职责，亲自参与或进行指导。通过——</w:t>
            </w:r>
          </w:p>
          <w:p>
            <w:pPr>
              <w:shd w:val="clear" w:color="auto" w:fill="EBF1DE" w:themeFill="accent3" w:themeFillTint="32"/>
            </w:pPr>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w:t>
            </w:r>
            <w:r>
              <w:rPr>
                <w:rFonts w:hint="eastAsia"/>
              </w:rPr>
              <w:sym w:font="Wingdings 2" w:char="0052"/>
            </w:r>
            <w:r>
              <w:rPr>
                <w:rFonts w:hint="eastAsia"/>
              </w:rPr>
              <w:t>风险机遇的应对□其他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eastAsia="宋体"/>
                <w:b/>
                <w:bCs/>
                <w:color w:val="000000"/>
                <w:szCs w:val="18"/>
              </w:rPr>
            </w:pPr>
            <w:r>
              <w:rPr>
                <w:rFonts w:hint="eastAsia"/>
              </w:rPr>
              <w:t>最高管理者制定了文件化的管理体系方针：</w:t>
            </w:r>
            <w:r>
              <w:rPr>
                <w:rFonts w:hint="eastAsia" w:eastAsia="宋体"/>
                <w:b/>
                <w:bCs/>
                <w:color w:val="000000"/>
                <w:szCs w:val="18"/>
              </w:rPr>
              <w:t>严格贯彻节能法律法规，履行节能降耗相关要求；</w:t>
            </w:r>
          </w:p>
          <w:p>
            <w:pPr>
              <w:keepNext w:val="0"/>
              <w:keepLines w:val="0"/>
              <w:pageBreakBefore w:val="0"/>
              <w:widowControl w:val="0"/>
              <w:kinsoku/>
              <w:wordWrap/>
              <w:overflowPunct/>
              <w:topLinePunct w:val="0"/>
              <w:autoSpaceDE/>
              <w:autoSpaceDN/>
              <w:bidi w:val="0"/>
              <w:adjustRightInd/>
              <w:snapToGrid/>
              <w:spacing w:line="240" w:lineRule="auto"/>
              <w:textAlignment w:val="auto"/>
            </w:pPr>
            <w:r>
              <w:rPr>
                <w:rFonts w:hint="eastAsia" w:eastAsia="宋体"/>
                <w:b/>
                <w:bCs/>
                <w:color w:val="000000"/>
                <w:szCs w:val="18"/>
              </w:rPr>
              <w:t>提供资源促进节能进步，持续改进能源管理绩效；形成节能降耗长效机制，构建节约环保绿色企业。</w:t>
            </w:r>
          </w:p>
          <w:p>
            <w:pPr>
              <w:shd w:val="clear" w:color="auto" w:fill="EBF1DE" w:themeFill="accent3" w:themeFillTint="32"/>
              <w:rPr>
                <w:u w:val="single"/>
              </w:rPr>
            </w:pPr>
          </w:p>
          <w:p>
            <w:pPr>
              <w:shd w:val="clear" w:color="auto" w:fill="EBF1DE" w:themeFill="accent3" w:themeFillTint="32"/>
            </w:pPr>
            <w:r>
              <w:rPr>
                <w:rFonts w:hint="eastAsia"/>
              </w:rPr>
              <w:t>能源</w:t>
            </w:r>
            <w:r>
              <w:rPr>
                <w:rFonts w:hint="eastAsia"/>
                <w:lang w:val="en-GB"/>
              </w:rPr>
              <w:t>方针合理恰当并为相应的</w:t>
            </w:r>
            <w:r>
              <w:rPr>
                <w:rFonts w:hint="eastAsia"/>
              </w:rPr>
              <w:t>节能</w:t>
            </w:r>
            <w:r>
              <w:rPr>
                <w:rFonts w:hint="eastAsia"/>
                <w:lang w:val="en-GB"/>
              </w:rPr>
              <w:t>目标提供了框架，</w:t>
            </w:r>
            <w:r>
              <w:rPr>
                <w:rFonts w:hint="eastAsia"/>
              </w:rPr>
              <w:t>包括了</w:t>
            </w:r>
            <w:r>
              <w:rPr>
                <w:rFonts w:hint="eastAsia"/>
                <w:lang w:val="en-GB"/>
              </w:rPr>
              <w:t>节能的承诺、履行其合规义务的承诺，持续改进能源管理体系以提高能源绩效的承诺；</w:t>
            </w:r>
            <w:r>
              <w:rPr>
                <w:rFonts w:hint="eastAsia"/>
              </w:rPr>
              <w:t>最高</w:t>
            </w:r>
            <w:r>
              <w:rPr>
                <w:rFonts w:hint="eastAsia"/>
                <w:lang w:val="en-GB"/>
              </w:rPr>
              <w:t>管理层已经宣布了组织的</w:t>
            </w:r>
            <w:r>
              <w:rPr>
                <w:rFonts w:hint="eastAsia"/>
              </w:rPr>
              <w:t>能源</w:t>
            </w:r>
            <w:r>
              <w:rPr>
                <w:rFonts w:hint="eastAsia"/>
                <w:lang w:val="en-GB"/>
              </w:rPr>
              <w:t>方针并进行了实施，它使所有员工负起持续改进</w:t>
            </w:r>
            <w:r>
              <w:rPr>
                <w:rFonts w:hint="eastAsia"/>
              </w:rPr>
              <w:t>能源</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eastAsia" w:eastAsia="宋体"/>
                <w:lang w:val="en-US" w:eastAsia="zh-CN"/>
              </w:rPr>
            </w:pPr>
            <w:r>
              <w:rPr>
                <w:rFonts w:hint="eastAsia"/>
              </w:rPr>
              <w:t>EnMS的主管部门是——</w:t>
            </w:r>
            <w:r>
              <w:rPr>
                <w:rFonts w:hint="eastAsia"/>
              </w:rPr>
              <w:sym w:font="Wingdings 2" w:char="0052"/>
            </w:r>
            <w:r>
              <w:rPr>
                <w:rFonts w:hint="eastAsia"/>
                <w:lang w:val="en-US" w:eastAsia="zh-CN"/>
              </w:rPr>
              <w:t xml:space="preserve">综合部    </w:t>
            </w:r>
            <w:r>
              <w:rPr>
                <w:rFonts w:hint="eastAsia"/>
              </w:rPr>
              <w:t>能源管理团队</w:t>
            </w:r>
            <w:r>
              <w:rPr>
                <w:rFonts w:hint="eastAsia"/>
                <w:lang w:eastAsia="zh-CN"/>
              </w:rPr>
              <w:t>——</w:t>
            </w:r>
            <w:r>
              <w:rPr>
                <w:rFonts w:hint="eastAsia"/>
              </w:rPr>
              <w:sym w:font="Wingdings 2" w:char="0052"/>
            </w:r>
            <w:r>
              <w:rPr>
                <w:rFonts w:hint="eastAsia"/>
                <w:lang w:val="en-US" w:eastAsia="zh-CN"/>
              </w:rPr>
              <w:t>综合部</w:t>
            </w:r>
          </w:p>
          <w:p>
            <w:pPr>
              <w:shd w:val="clear" w:color="auto" w:fill="EBF1DE" w:themeFill="accent3" w:themeFillTint="32"/>
              <w:rPr>
                <w:rFonts w:hint="default" w:eastAsia="宋体"/>
                <w:lang w:val="en-US" w:eastAsia="zh-CN"/>
              </w:rPr>
            </w:pPr>
            <w:r>
              <w:rPr>
                <w:rFonts w:hint="eastAsia"/>
              </w:rPr>
              <w:t>能源管理团队负责人是——</w:t>
            </w:r>
            <w:r>
              <w:rPr>
                <w:rFonts w:hint="eastAsia"/>
                <w:lang w:val="en-US" w:eastAsia="zh-CN"/>
              </w:rPr>
              <w:t>范倩娴</w:t>
            </w:r>
            <w:r>
              <w:rPr>
                <w:rFonts w:hint="eastAsia"/>
                <w:lang w:eastAsia="zh-CN"/>
              </w:rPr>
              <w:t>；</w:t>
            </w:r>
            <w:r>
              <w:rPr>
                <w:rFonts w:hint="eastAsia"/>
              </w:rPr>
              <w:t>管理者代表</w:t>
            </w:r>
            <w:r>
              <w:rPr>
                <w:rFonts w:hint="eastAsia"/>
                <w:lang w:eastAsia="zh-CN"/>
              </w:rPr>
              <w:t>——</w:t>
            </w:r>
            <w:r>
              <w:rPr>
                <w:rFonts w:hint="eastAsia"/>
                <w:lang w:val="en-US" w:eastAsia="zh-CN"/>
              </w:rPr>
              <w:t>范倩娴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在策划能源管理体系时，组织确定了需要应对的风险和机遇及应对这些风险和机遇的措施；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能源法律法规及相关标准的变化</w:t>
                  </w:r>
                </w:p>
              </w:tc>
              <w:tc>
                <w:tcPr>
                  <w:tcW w:w="3965"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及时识别并评价合规性，制定相应的措施</w:t>
                  </w:r>
                </w:p>
              </w:tc>
              <w:tc>
                <w:tcPr>
                  <w:tcW w:w="1717" w:type="dxa"/>
                  <w:vAlign w:val="top"/>
                </w:tcPr>
                <w:p>
                  <w:pPr>
                    <w:shd w:val="clear" w:color="auto" w:fill="EBF1DE" w:themeFill="accent3" w:themeFillTint="32"/>
                    <w:rPr>
                      <w:rFonts w:hint="eastAsia" w:ascii="Times New Roman" w:hAnsi="Times New Roman" w:eastAsia="宋体" w:cs="Times New Roman"/>
                      <w:kern w:val="2"/>
                      <w:sz w:val="21"/>
                      <w:szCs w:val="24"/>
                      <w:lang w:val="en-US" w:eastAsia="zh-CN" w:bidi="ar-SA"/>
                    </w:rPr>
                  </w:pPr>
                  <w:r>
                    <w:rPr>
                      <w:rFonts w:hint="eastAsia"/>
                      <w:lang w:val="en-US" w:eastAsia="zh-CN"/>
                    </w:rPr>
                    <w:t>措施有效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主要耗能设备的使用</w:t>
                  </w:r>
                </w:p>
              </w:tc>
              <w:tc>
                <w:tcPr>
                  <w:tcW w:w="3965"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目前无主要耗能设备</w:t>
                  </w:r>
                </w:p>
              </w:tc>
              <w:tc>
                <w:tcPr>
                  <w:tcW w:w="1717"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p>
              </w:tc>
              <w:tc>
                <w:tcPr>
                  <w:tcW w:w="3965"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p>
              </w:tc>
              <w:tc>
                <w:tcPr>
                  <w:tcW w:w="1717"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组织对控制或影响的所有活动、产品和服务考虑了节能降耗的影响；</w:t>
            </w:r>
          </w:p>
          <w:p>
            <w:pPr>
              <w:shd w:val="clear" w:color="auto" w:fill="EBF1DE" w:themeFill="accent3" w:themeFillTint="32"/>
            </w:pPr>
            <w:r>
              <w:rPr>
                <w:rFonts w:hint="eastAsia"/>
              </w:rPr>
              <w:t>考虑了基于测量和其他数据，分析能源使用和能源消耗，识别当前能源类型，评价过去和现在的能源使用情况和能源消耗水平。从而识别主要能源使用，</w:t>
            </w:r>
          </w:p>
          <w:p>
            <w:pPr>
              <w:shd w:val="clear" w:color="auto" w:fill="EBF1DE" w:themeFill="accent3" w:themeFillTint="32"/>
            </w:pPr>
            <w:r>
              <w:rPr>
                <w:rFonts w:hint="eastAsia"/>
              </w:rPr>
              <w:t>针对每个主要能源使用：1)确定相关变量；2）确定当前能源绩效；3）识别在其控制下，对主要能源使用具有影响的相关人员；</w:t>
            </w:r>
          </w:p>
          <w:p>
            <w:pPr>
              <w:shd w:val="clear" w:color="auto" w:fill="EBF1DE" w:themeFill="accent3" w:themeFillTint="32"/>
            </w:pPr>
            <w:r>
              <w:rPr>
                <w:rFonts w:hint="eastAsia"/>
              </w:rPr>
              <w:t>确定改进能源绩效的机会并进行排序；</w:t>
            </w:r>
          </w:p>
          <w:p>
            <w:pPr>
              <w:shd w:val="clear" w:color="auto" w:fill="EBF1DE" w:themeFill="accent3" w:themeFillTint="32"/>
            </w:pPr>
            <w:r>
              <w:rPr>
                <w:rFonts w:hint="eastAsia"/>
              </w:rPr>
              <w:t>评估未来的能源使用和能源消耗。</w:t>
            </w:r>
          </w:p>
          <w:p>
            <w:pPr>
              <w:shd w:val="clear" w:color="auto" w:fill="EBF1DE" w:themeFill="accent3" w:themeFillTint="32"/>
            </w:pPr>
            <w:r>
              <w:rPr>
                <w:rFonts w:hint="eastAsia"/>
              </w:rPr>
              <w:t>当设施、设备、系统或能源使用过程发生显著变化时，应进行能源评审。</w:t>
            </w:r>
          </w:p>
          <w:p>
            <w:pPr>
              <w:shd w:val="clear" w:color="auto" w:fill="EBF1DE" w:themeFill="accent3" w:themeFillTint="32"/>
            </w:pPr>
            <w:r>
              <w:rPr>
                <w:rFonts w:hint="eastAsia"/>
              </w:rPr>
              <w:t>制定了用于建立能源评审的方法和准则的文件化信息，保留能源评审结果的文件化信息。</w:t>
            </w:r>
          </w:p>
          <w:p>
            <w:pPr>
              <w:shd w:val="clear" w:color="auto" w:fill="EBF1DE" w:themeFill="accent3" w:themeFillTint="32"/>
              <w:rPr>
                <w:b/>
                <w:bCs/>
              </w:rPr>
            </w:pPr>
          </w:p>
          <w:p>
            <w:pPr>
              <w:shd w:val="clear" w:color="auto" w:fill="EBF1DE" w:themeFill="accent3" w:themeFillTint="32"/>
            </w:pPr>
            <w:r>
              <w:rPr>
                <w:rFonts w:hint="eastAsia"/>
              </w:rPr>
              <w:t>能源使用包括(必要时，按每个场所来描述):（不必全选）</w:t>
            </w:r>
          </w:p>
          <w:p>
            <w:pPr>
              <w:shd w:val="clear" w:color="auto" w:fill="EBF1DE" w:themeFill="accent3" w:themeFillTint="32"/>
              <w:spacing w:before="40" w:after="40"/>
            </w:pPr>
            <w:r>
              <w:rPr>
                <w:rFonts w:hint="eastAsia"/>
              </w:rPr>
              <w:t>□蒸汽□天然气□燃料油□燃料气</w:t>
            </w:r>
            <w:r>
              <w:rPr>
                <w:rFonts w:hint="eastAsia"/>
              </w:rPr>
              <w:sym w:font="Wingdings 2" w:char="0052"/>
            </w:r>
            <w:r>
              <w:rPr>
                <w:rFonts w:hint="eastAsia"/>
              </w:rPr>
              <w:t>电力</w:t>
            </w:r>
            <w:r>
              <w:rPr>
                <w:rFonts w:hint="eastAsia"/>
              </w:rPr>
              <w:sym w:font="Wingdings 2" w:char="00A3"/>
            </w:r>
            <w:r>
              <w:rPr>
                <w:rFonts w:hint="eastAsia"/>
              </w:rPr>
              <w:t>氮气□风</w:t>
            </w:r>
            <w:r>
              <w:rPr>
                <w:rFonts w:hint="eastAsia"/>
              </w:rPr>
              <w:sym w:font="Wingdings 2" w:char="0052"/>
            </w:r>
            <w:r>
              <w:rPr>
                <w:rFonts w:hint="eastAsia"/>
              </w:rPr>
              <w:t>新鲜水□各种品质水</w:t>
            </w:r>
          </w:p>
          <w:p>
            <w:pPr>
              <w:jc w:val="left"/>
              <w:rPr>
                <w:rFonts w:hint="eastAsia"/>
                <w:lang w:val="en-US" w:eastAsia="zh-CN"/>
              </w:rPr>
            </w:pPr>
            <w:r>
              <w:rPr>
                <w:rFonts w:hint="eastAsia"/>
              </w:rPr>
              <w:sym w:font="Wingdings 2" w:char="00A3"/>
            </w:r>
            <w:r>
              <w:rPr>
                <w:rFonts w:hint="eastAsia"/>
              </w:rPr>
              <w:t>其他</w:t>
            </w:r>
            <w:r>
              <w:rPr>
                <w:rFonts w:hint="eastAsia"/>
                <w:lang w:eastAsia="zh-CN"/>
              </w:rPr>
              <w:t>——</w:t>
            </w:r>
            <w:r>
              <w:rPr>
                <w:rFonts w:hint="eastAsia"/>
                <w:lang w:val="en-US" w:eastAsia="zh-CN"/>
              </w:rPr>
              <w:t>混合气体等</w:t>
            </w:r>
          </w:p>
          <w:p>
            <w:pPr>
              <w:pStyle w:val="2"/>
            </w:pPr>
          </w:p>
          <w:p>
            <w:pPr>
              <w:jc w:val="left"/>
              <w:rPr>
                <w:rFonts w:asciiTheme="majorEastAsia" w:hAnsiTheme="majorEastAsia" w:eastAsiaTheme="majorEastAsia"/>
              </w:rPr>
            </w:pPr>
            <w:r>
              <w:rPr>
                <w:rFonts w:hint="eastAsia" w:asciiTheme="majorEastAsia" w:hAnsiTheme="majorEastAsia" w:eastAsiaTheme="majorEastAsia"/>
              </w:rPr>
              <w:t>组织应确定能源绩效参数，这些能源绩效参数应：</w:t>
            </w:r>
          </w:p>
          <w:p>
            <w:pPr>
              <w:jc w:val="left"/>
              <w:rPr>
                <w:rFonts w:asciiTheme="majorEastAsia" w:hAnsiTheme="majorEastAsia" w:eastAsiaTheme="majorEastAsia"/>
              </w:rPr>
            </w:pPr>
            <w:r>
              <w:rPr>
                <w:rFonts w:hint="eastAsia" w:asciiTheme="majorEastAsia" w:hAnsiTheme="majorEastAsia" w:eastAsiaTheme="majorEastAsia"/>
              </w:rPr>
              <w:t>1）与监视和测量能源绩效相适宜；2）使组织能够证实其能源绩效的改进。</w:t>
            </w:r>
          </w:p>
          <w:p>
            <w:pPr>
              <w:jc w:val="left"/>
              <w:rPr>
                <w:rFonts w:asciiTheme="majorEastAsia" w:hAnsiTheme="majorEastAsia" w:eastAsiaTheme="majorEastAsia"/>
              </w:rPr>
            </w:pPr>
            <w:r>
              <w:rPr>
                <w:rFonts w:hint="eastAsia" w:asciiTheme="majorEastAsia" w:hAnsiTheme="majorEastAsia" w:eastAsiaTheme="majorEastAsia"/>
              </w:rPr>
              <w:t>确定和更新能源绩效参数的方法应保持文件化信息。</w:t>
            </w:r>
          </w:p>
          <w:p>
            <w:pPr>
              <w:jc w:val="left"/>
              <w:rPr>
                <w:rFonts w:asciiTheme="majorEastAsia" w:hAnsiTheme="majorEastAsia" w:eastAsiaTheme="majorEastAsia"/>
              </w:rPr>
            </w:pPr>
            <w:r>
              <w:rPr>
                <w:rFonts w:hint="eastAsia" w:asciiTheme="majorEastAsia" w:hAnsiTheme="majorEastAsia" w:eastAsiaTheme="majorEastAsia"/>
              </w:rPr>
              <w:t>当有数据显示相关变量显著影响能源绩效时，应考虑这些数据以建立适当的能源绩效参数。</w:t>
            </w:r>
          </w:p>
          <w:p>
            <w:pPr>
              <w:jc w:val="left"/>
              <w:rPr>
                <w:rFonts w:asciiTheme="majorEastAsia" w:hAnsiTheme="majorEastAsia" w:eastAsiaTheme="majorEastAsia"/>
              </w:rPr>
            </w:pPr>
            <w:r>
              <w:rPr>
                <w:rFonts w:hint="eastAsia" w:asciiTheme="majorEastAsia" w:hAnsiTheme="majorEastAsia" w:eastAsiaTheme="majorEastAsia"/>
              </w:rPr>
              <w:t>组织应评审其能源绩效参数值，并与相应的能源基准进行比较。组织应保留能源绩效参数值的文件化信息。</w:t>
            </w:r>
          </w:p>
          <w:p>
            <w:pPr>
              <w:jc w:val="left"/>
              <w:rPr>
                <w:rFonts w:hint="eastAsia" w:eastAsia="宋体"/>
                <w:lang w:eastAsia="zh-CN"/>
              </w:rPr>
            </w:pPr>
            <w:r>
              <w:rPr>
                <w:rFonts w:hint="eastAsia" w:asciiTheme="majorEastAsia" w:hAnsiTheme="majorEastAsia" w:eastAsiaTheme="majorEastAsia"/>
              </w:rPr>
              <w:t>能源绩效参数包括但不限于：</w:t>
            </w:r>
            <w:r>
              <w:rPr>
                <w:rFonts w:hint="eastAsia"/>
              </w:rPr>
              <w:sym w:font="Wingdings 2" w:char="0052"/>
            </w:r>
            <w:r>
              <w:rPr>
                <w:rFonts w:hint="eastAsia"/>
              </w:rPr>
              <w:t>单位产</w:t>
            </w:r>
            <w:r>
              <w:rPr>
                <w:rFonts w:hint="eastAsia"/>
                <w:lang w:val="en-US" w:eastAsia="zh-CN"/>
              </w:rPr>
              <w:t>值</w:t>
            </w:r>
            <w:r>
              <w:rPr>
                <w:rFonts w:hint="eastAsia"/>
              </w:rPr>
              <w:t>综合能耗</w:t>
            </w:r>
            <w:r>
              <w:rPr>
                <w:rFonts w:hint="eastAsia"/>
              </w:rPr>
              <w:sym w:font="Wingdings 2" w:char="0052"/>
            </w:r>
            <w:r>
              <w:rPr>
                <w:rFonts w:hint="eastAsia"/>
              </w:rPr>
              <w:t>能源消费总量□单位产品蒸汽消耗□单位产品燃料气消耗□加热炉热效率</w:t>
            </w:r>
            <w:r>
              <w:rPr>
                <w:rFonts w:hint="eastAsia"/>
              </w:rPr>
              <w:sym w:font="Wingdings 2" w:char="0052"/>
            </w:r>
            <w:r>
              <w:rPr>
                <w:rFonts w:hint="eastAsia"/>
              </w:rPr>
              <w:t>其他</w:t>
            </w:r>
            <w:r>
              <w:rPr>
                <w:rFonts w:hint="eastAsia"/>
                <w:lang w:eastAsia="zh-CN"/>
              </w:rPr>
              <w:t>——</w:t>
            </w:r>
            <w:r>
              <w:rPr>
                <w:rFonts w:hint="eastAsia"/>
              </w:rPr>
              <w:t>单位</w:t>
            </w:r>
            <w:r>
              <w:rPr>
                <w:rFonts w:hint="eastAsia"/>
                <w:lang w:val="en-US" w:eastAsia="zh-CN"/>
              </w:rPr>
              <w:t>面积</w:t>
            </w:r>
            <w:r>
              <w:rPr>
                <w:rFonts w:hint="eastAsia"/>
              </w:rPr>
              <w:t>综合能耗</w:t>
            </w:r>
          </w:p>
          <w:p>
            <w:pPr>
              <w:jc w:val="left"/>
              <w:rPr>
                <w:rFonts w:asciiTheme="majorEastAsia" w:hAnsiTheme="majorEastAsia" w:eastAsiaTheme="majorEastAsia"/>
              </w:rPr>
            </w:pPr>
          </w:p>
          <w:p>
            <w:pPr>
              <w:jc w:val="left"/>
              <w:rPr>
                <w:rFonts w:asciiTheme="majorEastAsia" w:hAnsiTheme="majorEastAsia" w:eastAsiaTheme="majorEastAsia"/>
              </w:rPr>
            </w:pPr>
            <w:r>
              <w:rPr>
                <w:rFonts w:hint="eastAsia" w:asciiTheme="majorEastAsia" w:hAnsiTheme="majorEastAsia" w:eastAsiaTheme="majorEastAsia"/>
              </w:rPr>
              <w:t>使用能源评审的信息，并考虑适合的时间段，建立能源基准。</w:t>
            </w:r>
          </w:p>
          <w:p>
            <w:pPr>
              <w:jc w:val="left"/>
              <w:rPr>
                <w:rFonts w:asciiTheme="majorEastAsia" w:hAnsiTheme="majorEastAsia" w:eastAsiaTheme="majorEastAsia"/>
              </w:rPr>
            </w:pPr>
            <w:r>
              <w:rPr>
                <w:rFonts w:hint="eastAsia" w:asciiTheme="majorEastAsia" w:hAnsiTheme="majorEastAsia" w:eastAsiaTheme="majorEastAsia"/>
              </w:rPr>
              <w:t>当有数据显示相关变量显著影响能源绩效时，组织应对能源绩效参数和相应的能源基准进行归一化。</w:t>
            </w:r>
          </w:p>
          <w:p>
            <w:pPr>
              <w:jc w:val="left"/>
              <w:rPr>
                <w:rFonts w:asciiTheme="majorEastAsia" w:hAnsiTheme="majorEastAsia" w:eastAsiaTheme="majorEastAsia"/>
              </w:rPr>
            </w:pPr>
            <w:r>
              <w:rPr>
                <w:rFonts w:hint="eastAsia" w:asciiTheme="majorEastAsia" w:hAnsiTheme="majorEastAsia" w:eastAsiaTheme="majorEastAsia"/>
              </w:rPr>
              <w:t>根据企业活动的性质，归一化可以是简单的调整，或者是更加复杂的过程。</w:t>
            </w:r>
          </w:p>
          <w:p>
            <w:pPr>
              <w:jc w:val="left"/>
              <w:rPr>
                <w:rFonts w:asciiTheme="majorEastAsia" w:hAnsiTheme="majorEastAsia" w:eastAsiaTheme="majorEastAsia"/>
              </w:rPr>
            </w:pPr>
            <w:r>
              <w:rPr>
                <w:rFonts w:hint="eastAsia" w:asciiTheme="majorEastAsia" w:hAnsiTheme="majorEastAsia" w:eastAsiaTheme="majorEastAsia"/>
              </w:rPr>
              <w:t>当出现以下一种或多种情况时，应对能源基准进行调整：</w:t>
            </w:r>
          </w:p>
          <w:p>
            <w:pPr>
              <w:jc w:val="left"/>
              <w:rPr>
                <w:rFonts w:asciiTheme="majorEastAsia" w:hAnsiTheme="majorEastAsia" w:eastAsiaTheme="majorEastAsia"/>
              </w:rPr>
            </w:pPr>
            <w:r>
              <w:rPr>
                <w:rFonts w:hint="eastAsia" w:asciiTheme="majorEastAsia" w:hAnsiTheme="majorEastAsia" w:eastAsiaTheme="majorEastAsia"/>
              </w:rPr>
              <w:t>a）能源绩效参数不再能够反映组织的能源绩效时；</w:t>
            </w:r>
          </w:p>
          <w:p>
            <w:pPr>
              <w:jc w:val="left"/>
              <w:rPr>
                <w:rFonts w:asciiTheme="majorEastAsia" w:hAnsiTheme="majorEastAsia" w:eastAsiaTheme="majorEastAsia"/>
              </w:rPr>
            </w:pPr>
            <w:r>
              <w:rPr>
                <w:rFonts w:hint="eastAsia" w:asciiTheme="majorEastAsia" w:hAnsiTheme="majorEastAsia" w:eastAsiaTheme="majorEastAsia"/>
              </w:rPr>
              <w:t>b）静态因素发生重大变化时；</w:t>
            </w:r>
          </w:p>
          <w:p>
            <w:pPr>
              <w:jc w:val="left"/>
              <w:rPr>
                <w:rFonts w:asciiTheme="majorEastAsia" w:hAnsiTheme="majorEastAsia" w:eastAsiaTheme="majorEastAsia"/>
              </w:rPr>
            </w:pPr>
            <w:r>
              <w:rPr>
                <w:rFonts w:hint="eastAsia" w:asciiTheme="majorEastAsia" w:hAnsiTheme="majorEastAsia" w:eastAsiaTheme="majorEastAsia"/>
              </w:rPr>
              <w:t>c）其他预先规定的情况。</w:t>
            </w:r>
          </w:p>
          <w:p>
            <w:pPr>
              <w:jc w:val="left"/>
              <w:rPr>
                <w:rFonts w:asciiTheme="majorEastAsia" w:hAnsiTheme="majorEastAsia" w:eastAsiaTheme="majorEastAsia"/>
              </w:rPr>
            </w:pPr>
            <w:r>
              <w:rPr>
                <w:rFonts w:hint="eastAsia" w:asciiTheme="majorEastAsia" w:hAnsiTheme="majorEastAsia" w:eastAsiaTheme="majorEastAsia"/>
              </w:rPr>
              <w:t>组织应保留能源基准、相关变量数据和能源基准的修改的文件化信息。</w:t>
            </w:r>
          </w:p>
          <w:p>
            <w:pPr>
              <w:jc w:val="left"/>
              <w:rPr>
                <w:rFonts w:asciiTheme="majorEastAsia" w:hAnsiTheme="majorEastAsia" w:eastAsiaTheme="majorEastAsia"/>
              </w:rPr>
            </w:pPr>
          </w:p>
          <w:p>
            <w:pPr>
              <w:jc w:val="left"/>
              <w:rPr>
                <w:rFonts w:asciiTheme="majorEastAsia" w:hAnsiTheme="majorEastAsia" w:eastAsiaTheme="majorEastAsia"/>
              </w:rPr>
            </w:pPr>
            <w:r>
              <w:rPr>
                <w:rFonts w:hint="eastAsia" w:asciiTheme="majorEastAsia" w:hAnsiTheme="majorEastAsia" w:eastAsiaTheme="majorEastAsia"/>
              </w:rPr>
              <w:t>组织应制定和实施能源数据收集计划，确保运行中的影响能源绩效的关键特性在规定的时间间隔内进行识别、监视、测量和分析。</w:t>
            </w:r>
          </w:p>
          <w:p>
            <w:pPr>
              <w:jc w:val="left"/>
              <w:rPr>
                <w:rFonts w:asciiTheme="majorEastAsia" w:hAnsiTheme="majorEastAsia" w:eastAsiaTheme="majorEastAsia"/>
              </w:rPr>
            </w:pPr>
            <w:r>
              <w:rPr>
                <w:rFonts w:hint="eastAsia" w:asciiTheme="majorEastAsia" w:hAnsiTheme="majorEastAsia" w:eastAsiaTheme="majorEastAsia"/>
              </w:rPr>
              <w:t>能源数据收集计划应与企业的规模、复杂程度、资源及监视和测量设备相适应。计划应明确监视关键特性必要的数据，且应明确以何种方式、何种频次对数据进行收集和保留。</w:t>
            </w:r>
          </w:p>
          <w:p>
            <w:pPr>
              <w:jc w:val="left"/>
              <w:rPr>
                <w:rFonts w:asciiTheme="majorEastAsia" w:hAnsiTheme="majorEastAsia" w:eastAsiaTheme="majorEastAsia"/>
              </w:rPr>
            </w:pPr>
            <w:r>
              <w:rPr>
                <w:rFonts w:hint="eastAsia" w:asciiTheme="majorEastAsia" w:hAnsiTheme="majorEastAsia" w:eastAsiaTheme="majorEastAsia"/>
              </w:rPr>
              <w:t>所收集数据（或适用时通过测量获取）和保留的文件化信息。应包括：</w:t>
            </w:r>
          </w:p>
          <w:p>
            <w:pPr>
              <w:jc w:val="left"/>
              <w:rPr>
                <w:rFonts w:asciiTheme="majorEastAsia" w:hAnsiTheme="majorEastAsia" w:eastAsiaTheme="majorEastAsia"/>
              </w:rPr>
            </w:pPr>
            <w:r>
              <w:rPr>
                <w:rFonts w:hint="eastAsia" w:asciiTheme="majorEastAsia" w:hAnsiTheme="majorEastAsia" w:eastAsiaTheme="majorEastAsia"/>
              </w:rPr>
              <w:t>a）主要能源使用的相关变量；</w:t>
            </w:r>
          </w:p>
          <w:p>
            <w:pPr>
              <w:jc w:val="left"/>
              <w:rPr>
                <w:rFonts w:asciiTheme="majorEastAsia" w:hAnsiTheme="majorEastAsia" w:eastAsiaTheme="majorEastAsia"/>
              </w:rPr>
            </w:pPr>
            <w:r>
              <w:rPr>
                <w:rFonts w:hint="eastAsia" w:asciiTheme="majorEastAsia" w:hAnsiTheme="majorEastAsia" w:eastAsiaTheme="majorEastAsia"/>
              </w:rPr>
              <w:t>b）与主要能源使用和组织相关的能源消耗；</w:t>
            </w:r>
          </w:p>
          <w:p>
            <w:pPr>
              <w:jc w:val="left"/>
              <w:rPr>
                <w:rFonts w:asciiTheme="majorEastAsia" w:hAnsiTheme="majorEastAsia" w:eastAsiaTheme="majorEastAsia"/>
              </w:rPr>
            </w:pPr>
            <w:r>
              <w:rPr>
                <w:rFonts w:hint="eastAsia" w:asciiTheme="majorEastAsia" w:hAnsiTheme="majorEastAsia" w:eastAsiaTheme="majorEastAsia"/>
              </w:rPr>
              <w:t>c）与主要能源使用相关的运行准则；</w:t>
            </w:r>
          </w:p>
          <w:p>
            <w:pPr>
              <w:jc w:val="left"/>
              <w:rPr>
                <w:rFonts w:asciiTheme="majorEastAsia" w:hAnsiTheme="majorEastAsia" w:eastAsiaTheme="majorEastAsia"/>
              </w:rPr>
            </w:pPr>
            <w:r>
              <w:rPr>
                <w:rFonts w:hint="eastAsia" w:asciiTheme="majorEastAsia" w:hAnsiTheme="majorEastAsia" w:eastAsiaTheme="majorEastAsia"/>
              </w:rPr>
              <w:t>d）适用时，静态因素；</w:t>
            </w:r>
          </w:p>
          <w:p>
            <w:pPr>
              <w:jc w:val="left"/>
              <w:rPr>
                <w:rFonts w:asciiTheme="majorEastAsia" w:hAnsiTheme="majorEastAsia" w:eastAsiaTheme="majorEastAsia"/>
              </w:rPr>
            </w:pPr>
            <w:r>
              <w:rPr>
                <w:rFonts w:hint="eastAsia" w:asciiTheme="majorEastAsia" w:hAnsiTheme="majorEastAsia" w:eastAsiaTheme="majorEastAsia"/>
              </w:rPr>
              <w:t>e）实施方案中特定的数据。</w:t>
            </w:r>
          </w:p>
          <w:p>
            <w:pPr>
              <w:jc w:val="left"/>
              <w:rPr>
                <w:rFonts w:asciiTheme="majorEastAsia" w:hAnsiTheme="majorEastAsia" w:eastAsiaTheme="majorEastAsia"/>
              </w:rPr>
            </w:pPr>
            <w:r>
              <w:rPr>
                <w:rFonts w:hint="eastAsia" w:asciiTheme="majorEastAsia" w:hAnsiTheme="majorEastAsia" w:eastAsiaTheme="majorEastAsia"/>
              </w:rPr>
              <w:t>能源数据收集计划应按规定的时间间隔进行评审，并在适用时更新。</w:t>
            </w:r>
          </w:p>
          <w:p>
            <w:pPr>
              <w:jc w:val="left"/>
              <w:rPr>
                <w:rFonts w:asciiTheme="majorEastAsia" w:hAnsiTheme="majorEastAsia" w:eastAsiaTheme="majorEastAsia"/>
              </w:rPr>
            </w:pPr>
            <w:r>
              <w:rPr>
                <w:rFonts w:hint="eastAsia" w:asciiTheme="majorEastAsia" w:hAnsiTheme="majorEastAsia" w:eastAsiaTheme="majorEastAsia"/>
              </w:rPr>
              <w:t>企业应确保用于测量关键特性的设备所提供的数据是准确、可重现的。组织应保留测量、监视和其他确立准确度和可重复性的方法的文件化信息。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组织定期确定并获取了与其能源管理有关的文件化的合规义务；将这些合规义务应用于组织；在建立、实施、保持和持续改进其能源管理体系时必须考虑这些合规义务。</w:t>
            </w:r>
          </w:p>
          <w:p>
            <w:pPr>
              <w:shd w:val="clear" w:color="auto" w:fill="EBF1DE" w:themeFill="accent3" w:themeFillTint="32"/>
            </w:pPr>
            <w:r>
              <w:rPr>
                <w:rFonts w:hint="eastAsia"/>
              </w:rPr>
              <w:t>组织提供了下列许可和授权(必要时，按每个场所来描述):</w:t>
            </w:r>
          </w:p>
          <w:p>
            <w:pPr>
              <w:shd w:val="clear" w:color="auto" w:fill="EBF1DE" w:themeFill="accent3" w:themeFillTint="32"/>
              <w:rPr>
                <w:rFonts w:hint="eastAsia" w:eastAsia="宋体"/>
                <w:lang w:val="en-US" w:eastAsia="zh-CN"/>
              </w:rPr>
            </w:pPr>
            <w:r>
              <w:rPr>
                <w:rFonts w:hint="eastAsia"/>
              </w:rPr>
              <w:t>□节能评估报告编号/日期：</w:t>
            </w:r>
            <w:r>
              <w:rPr>
                <w:rFonts w:hint="eastAsia"/>
                <w:lang w:val="en-US" w:eastAsia="zh-CN"/>
              </w:rPr>
              <w:t>无</w:t>
            </w:r>
          </w:p>
          <w:p>
            <w:pPr>
              <w:shd w:val="clear" w:color="auto" w:fill="EBF1DE" w:themeFill="accent3" w:themeFillTint="32"/>
              <w:rPr>
                <w:rFonts w:hint="default" w:eastAsia="宋体"/>
                <w:lang w:val="en-US" w:eastAsia="zh-CN"/>
              </w:rPr>
            </w:pPr>
            <w:r>
              <w:rPr>
                <w:rFonts w:hint="eastAsia"/>
              </w:rPr>
              <w:sym w:font="Wingdings 2" w:char="0052"/>
            </w:r>
            <w:r>
              <w:rPr>
                <w:rFonts w:hint="eastAsia"/>
              </w:rPr>
              <w:t>能源评审报告编号/日期：</w:t>
            </w:r>
            <w:r>
              <w:rPr>
                <w:rFonts w:hint="eastAsia"/>
                <w:lang w:val="en-US" w:eastAsia="zh-CN"/>
              </w:rPr>
              <w:t>2022年7月5日</w:t>
            </w:r>
          </w:p>
          <w:p>
            <w:pPr>
              <w:shd w:val="clear" w:color="auto" w:fill="EBF1DE" w:themeFill="accent3" w:themeFillTint="32"/>
              <w:rPr>
                <w:rFonts w:hint="eastAsia"/>
                <w:lang w:val="en-US" w:eastAsia="zh-CN"/>
              </w:rPr>
            </w:pPr>
            <w:r>
              <w:rPr>
                <w:rFonts w:hint="eastAsia"/>
              </w:rPr>
              <w:t>□节能项目验收报告编号/日期：</w:t>
            </w:r>
            <w:r>
              <w:rPr>
                <w:rFonts w:hint="eastAsia"/>
                <w:lang w:val="en-US" w:eastAsia="zh-CN"/>
              </w:rPr>
              <w:t>无</w:t>
            </w:r>
          </w:p>
          <w:p>
            <w:pPr>
              <w:shd w:val="clear" w:color="auto" w:fill="EBF1DE" w:themeFill="accent3" w:themeFillTint="32"/>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组织策划并采取措施管理其能源评审、合规义务和识别的风险和机遇；</w:t>
            </w:r>
          </w:p>
          <w:p>
            <w:pPr>
              <w:shd w:val="clear" w:color="auto" w:fill="EBF1DE" w:themeFill="accent3" w:themeFillTint="32"/>
            </w:pPr>
            <w:r>
              <w:rPr>
                <w:rFonts w:hint="eastAsia"/>
              </w:rPr>
              <w:t>□限额标准□能源计量管理</w:t>
            </w:r>
            <w:r>
              <w:rPr>
                <w:rFonts w:hint="eastAsia"/>
              </w:rPr>
              <w:sym w:font="Wingdings 2" w:char="00A3"/>
            </w:r>
            <w:r>
              <w:rPr>
                <w:rFonts w:hint="eastAsia"/>
              </w:rPr>
              <w:t>使用节能设备□主要耗能设备识别及能效测试</w:t>
            </w:r>
          </w:p>
          <w:p>
            <w:pPr>
              <w:shd w:val="clear" w:color="auto" w:fill="EBF1DE" w:themeFill="accent3" w:themeFillTint="32"/>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组织建立了与方针一致的文件化的管理目标。为实现节能目标而建立的各层级节能目标分解方案、有针对性、可测量并且可实现。</w:t>
            </w:r>
          </w:p>
          <w:p>
            <w:pPr>
              <w:shd w:val="clear" w:color="auto" w:fill="EBF1DE" w:themeFill="accent3" w:themeFillTint="32"/>
            </w:pPr>
            <w:r>
              <w:rPr>
                <w:rFonts w:hint="eastAsia"/>
              </w:rPr>
              <w:t>节能目标实现情况的评价，及其控制措施是：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45"/>
              <w:gridCol w:w="2391"/>
              <w:gridCol w:w="1841"/>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5" w:type="dxa"/>
                  <w:shd w:val="clear" w:color="auto" w:fill="auto"/>
                </w:tcPr>
                <w:p>
                  <w:pPr>
                    <w:shd w:val="clear" w:color="auto" w:fill="EBF1DE" w:themeFill="accent3" w:themeFillTint="32"/>
                    <w:rPr>
                      <w:rFonts w:hint="eastAsia" w:ascii="宋体" w:hAnsi="宋体" w:eastAsia="宋体"/>
                      <w:lang w:eastAsia="zh-CN"/>
                    </w:rPr>
                  </w:pPr>
                  <w:r>
                    <w:rPr>
                      <w:rFonts w:hint="eastAsia" w:ascii="宋体" w:hAnsi="宋体"/>
                    </w:rPr>
                    <w:t>节能目标</w:t>
                  </w:r>
                  <w:r>
                    <w:rPr>
                      <w:rFonts w:hint="eastAsia" w:ascii="宋体" w:hAnsi="宋体"/>
                      <w:lang w:eastAsia="zh-CN"/>
                    </w:rPr>
                    <w:t>（</w:t>
                  </w:r>
                  <w:r>
                    <w:rPr>
                      <w:rFonts w:hint="eastAsia" w:ascii="宋体" w:hAnsi="宋体"/>
                      <w:lang w:val="en-US" w:eastAsia="zh-CN"/>
                    </w:rPr>
                    <w:t>2022年</w:t>
                  </w:r>
                  <w:r>
                    <w:rPr>
                      <w:rFonts w:hint="eastAsia" w:ascii="宋体" w:hAnsi="宋体"/>
                      <w:lang w:eastAsia="zh-CN"/>
                    </w:rPr>
                    <w:t>）</w:t>
                  </w:r>
                </w:p>
              </w:tc>
              <w:tc>
                <w:tcPr>
                  <w:tcW w:w="2391"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841"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hint="eastAsia" w:ascii="宋体" w:hAnsi="宋体" w:eastAsia="宋体"/>
                      <w:lang w:eastAsia="zh-CN"/>
                    </w:rPr>
                  </w:pPr>
                  <w:r>
                    <w:rPr>
                      <w:rFonts w:hint="eastAsia" w:ascii="宋体" w:hAnsi="宋体"/>
                    </w:rPr>
                    <w:t>目标实际完成</w:t>
                  </w:r>
                  <w:r>
                    <w:rPr>
                      <w:rFonts w:hint="eastAsia" w:ascii="宋体" w:hAnsi="宋体"/>
                      <w:lang w:eastAsia="zh-CN"/>
                    </w:rPr>
                    <w:t>（</w:t>
                  </w:r>
                  <w:r>
                    <w:rPr>
                      <w:rFonts w:hint="eastAsia" w:ascii="宋体" w:hAnsi="宋体"/>
                      <w:lang w:val="en-US" w:eastAsia="zh-CN"/>
                    </w:rPr>
                    <w:t>2022年1-6月</w:t>
                  </w:r>
                  <w:r>
                    <w:rPr>
                      <w:rFonts w:hint="eastAsia" w:ascii="宋体" w:hAnsi="宋体"/>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5" w:type="dxa"/>
                  <w:shd w:val="clear" w:color="auto" w:fill="auto"/>
                  <w:vAlign w:val="center"/>
                </w:tcPr>
                <w:p>
                  <w:pPr>
                    <w:jc w:val="left"/>
                    <w:rPr>
                      <w:rFonts w:hint="eastAsia" w:ascii="宋体" w:hAnsi="宋体" w:eastAsia="宋体" w:cs="Times New Roman"/>
                      <w:kern w:val="2"/>
                      <w:sz w:val="21"/>
                      <w:szCs w:val="21"/>
                      <w:lang w:val="en-US" w:eastAsia="zh-CN" w:bidi="ar-SA"/>
                    </w:rPr>
                  </w:pPr>
                  <w:r>
                    <w:rPr>
                      <w:rFonts w:hint="eastAsia" w:ascii="宋体" w:hAnsi="宋体"/>
                      <w:sz w:val="21"/>
                      <w:szCs w:val="21"/>
                    </w:rPr>
                    <w:t>综合能耗，</w:t>
                  </w:r>
                  <w:r>
                    <w:rPr>
                      <w:rFonts w:hint="eastAsia" w:ascii="宋体" w:hAnsi="宋体"/>
                      <w:sz w:val="21"/>
                      <w:szCs w:val="21"/>
                      <w:lang w:val="en-US" w:eastAsia="zh-CN"/>
                    </w:rPr>
                    <w:t>6400 kg</w:t>
                  </w:r>
                  <w:r>
                    <w:rPr>
                      <w:rFonts w:hint="eastAsia" w:ascii="宋体" w:hAnsi="宋体"/>
                      <w:sz w:val="21"/>
                      <w:szCs w:val="21"/>
                    </w:rPr>
                    <w:t>ce</w:t>
                  </w:r>
                </w:p>
              </w:tc>
              <w:tc>
                <w:tcPr>
                  <w:tcW w:w="2391" w:type="dxa"/>
                  <w:shd w:val="clear" w:color="auto" w:fill="auto"/>
                  <w:vAlign w:val="center"/>
                </w:tcPr>
                <w:p>
                  <w:pPr>
                    <w:shd w:val="clear" w:color="auto" w:fill="EBF1DE" w:themeFill="accent3" w:themeFillTint="32"/>
                    <w:rPr>
                      <w:rFonts w:hint="default" w:ascii="Times New Roman" w:hAnsi="Times New Roman" w:eastAsia="宋体" w:cs="Times New Roman"/>
                      <w:kern w:val="2"/>
                      <w:sz w:val="21"/>
                      <w:szCs w:val="24"/>
                      <w:lang w:val="en-GB" w:eastAsia="zh-CN" w:bidi="ar-SA"/>
                    </w:rPr>
                  </w:pPr>
                  <w:r>
                    <w:rPr>
                      <w:rFonts w:hint="eastAsia" w:ascii="Times New Roman" w:hAnsi="Times New Roman" w:eastAsia="宋体" w:cs="Times New Roman"/>
                      <w:kern w:val="2"/>
                      <w:sz w:val="21"/>
                      <w:szCs w:val="24"/>
                      <w:lang w:val="en-US" w:eastAsia="zh-CN" w:bidi="ar-SA"/>
                    </w:rPr>
                    <w:t>加强用能设备管理</w:t>
                  </w:r>
                </w:p>
              </w:tc>
              <w:tc>
                <w:tcPr>
                  <w:tcW w:w="1841" w:type="dxa"/>
                  <w:shd w:val="clear" w:color="auto" w:fill="auto"/>
                  <w:vAlign w:val="center"/>
                </w:tcPr>
                <w:p>
                  <w:pPr>
                    <w:shd w:val="clear" w:color="auto" w:fill="EBF1DE" w:themeFill="accent3" w:themeFillTint="32"/>
                    <w:rPr>
                      <w:rFonts w:hint="eastAsia" w:eastAsia="宋体"/>
                      <w:lang w:val="en-US" w:eastAsia="zh-CN"/>
                    </w:rPr>
                  </w:pPr>
                  <w:r>
                    <w:rPr>
                      <w:rFonts w:hint="eastAsia"/>
                      <w:lang w:val="en-US" w:eastAsia="zh-CN"/>
                    </w:rPr>
                    <w:t>综合部</w:t>
                  </w:r>
                </w:p>
              </w:tc>
              <w:tc>
                <w:tcPr>
                  <w:tcW w:w="1774" w:type="dxa"/>
                  <w:shd w:val="clear" w:color="auto" w:fill="auto"/>
                  <w:vAlign w:val="center"/>
                </w:tcPr>
                <w:p>
                  <w:pPr>
                    <w:jc w:val="center"/>
                    <w:rPr>
                      <w:rFonts w:hint="default" w:ascii="宋体" w:hAnsi="宋体" w:eastAsia="宋体" w:cs="Times New Roman"/>
                      <w:color w:val="auto"/>
                      <w:kern w:val="2"/>
                      <w:sz w:val="21"/>
                      <w:szCs w:val="21"/>
                      <w:lang w:val="en-GB" w:eastAsia="zh-CN" w:bidi="ar-SA"/>
                    </w:rPr>
                  </w:pPr>
                  <w:r>
                    <w:rPr>
                      <w:rFonts w:hint="eastAsia" w:ascii="宋体" w:hAnsi="宋体" w:eastAsia="宋体" w:cs="Times New Roman"/>
                      <w:color w:val="auto"/>
                      <w:sz w:val="21"/>
                      <w:szCs w:val="21"/>
                      <w:lang w:val="en-US" w:eastAsia="zh-CN"/>
                    </w:rPr>
                    <w:t>2424.84</w:t>
                  </w:r>
                  <w:r>
                    <w:rPr>
                      <w:rFonts w:hint="eastAsia" w:ascii="宋体" w:hAnsi="宋体"/>
                      <w:sz w:val="21"/>
                      <w:szCs w:val="21"/>
                      <w:lang w:val="en-US" w:eastAsia="zh-CN"/>
                    </w:rPr>
                    <w:t xml:space="preserve"> kg</w:t>
                  </w:r>
                  <w:r>
                    <w:rPr>
                      <w:rFonts w:hint="eastAsia" w:ascii="宋体" w:hAnsi="宋体"/>
                      <w:sz w:val="21"/>
                      <w:szCs w:val="21"/>
                    </w:rPr>
                    <w:t>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5" w:type="dxa"/>
                  <w:shd w:val="clear" w:color="auto" w:fill="auto"/>
                  <w:vAlign w:val="center"/>
                </w:tcPr>
                <w:p>
                  <w:pPr>
                    <w:jc w:val="left"/>
                    <w:rPr>
                      <w:rFonts w:hint="eastAsia" w:ascii="宋体" w:hAnsi="宋体" w:eastAsia="宋体" w:cs="Times New Roman"/>
                      <w:kern w:val="2"/>
                      <w:sz w:val="21"/>
                      <w:szCs w:val="21"/>
                      <w:lang w:val="en-US" w:eastAsia="zh-CN" w:bidi="ar-SA"/>
                    </w:rPr>
                  </w:pPr>
                  <w:r>
                    <w:rPr>
                      <w:rFonts w:hint="eastAsia" w:ascii="宋体" w:hAnsi="宋体"/>
                      <w:sz w:val="21"/>
                      <w:szCs w:val="21"/>
                    </w:rPr>
                    <w:t>单位</w:t>
                  </w:r>
                  <w:r>
                    <w:rPr>
                      <w:rFonts w:hint="eastAsia" w:ascii="宋体" w:hAnsi="宋体"/>
                      <w:sz w:val="21"/>
                      <w:szCs w:val="21"/>
                      <w:lang w:val="en-US" w:eastAsia="zh-CN"/>
                    </w:rPr>
                    <w:t>面积</w:t>
                  </w:r>
                  <w:r>
                    <w:rPr>
                      <w:rFonts w:hint="eastAsia" w:ascii="宋体" w:hAnsi="宋体"/>
                      <w:sz w:val="21"/>
                      <w:szCs w:val="21"/>
                    </w:rPr>
                    <w:t>综合能耗</w:t>
                  </w:r>
                  <w:r>
                    <w:rPr>
                      <w:rFonts w:hint="eastAsia" w:ascii="宋体" w:hAnsi="宋体"/>
                      <w:sz w:val="21"/>
                      <w:szCs w:val="21"/>
                      <w:lang w:val="en-US" w:eastAsia="zh-CN"/>
                    </w:rPr>
                    <w:t>8.0Kg</w:t>
                  </w:r>
                  <w:r>
                    <w:rPr>
                      <w:rFonts w:hint="eastAsia" w:ascii="宋体" w:hAnsi="宋体"/>
                      <w:sz w:val="21"/>
                      <w:szCs w:val="21"/>
                    </w:rPr>
                    <w:t>ce/</w:t>
                  </w:r>
                  <w:r>
                    <w:rPr>
                      <w:rFonts w:hint="eastAsia" w:ascii="宋体" w:hAnsi="宋体"/>
                      <w:sz w:val="21"/>
                      <w:szCs w:val="21"/>
                      <w:lang w:val="en-US" w:eastAsia="zh-CN"/>
                    </w:rPr>
                    <w:t>平方米</w:t>
                  </w:r>
                </w:p>
              </w:tc>
              <w:tc>
                <w:tcPr>
                  <w:tcW w:w="2391" w:type="dxa"/>
                  <w:shd w:val="clear" w:color="auto" w:fill="auto"/>
                  <w:vAlign w:val="center"/>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增加产量</w:t>
                  </w:r>
                </w:p>
              </w:tc>
              <w:tc>
                <w:tcPr>
                  <w:tcW w:w="1841" w:type="dxa"/>
                  <w:shd w:val="clear" w:color="auto" w:fill="auto"/>
                  <w:vAlign w:val="center"/>
                </w:tcPr>
                <w:p>
                  <w:pPr>
                    <w:shd w:val="clear" w:color="auto" w:fill="EBF1DE" w:themeFill="accent3" w:themeFillTint="32"/>
                    <w:rPr>
                      <w:rFonts w:hint="eastAsia" w:ascii="宋体" w:hAnsi="宋体" w:eastAsia="宋体"/>
                      <w:lang w:val="en-US" w:eastAsia="zh-CN"/>
                    </w:rPr>
                  </w:pPr>
                  <w:r>
                    <w:rPr>
                      <w:rFonts w:hint="eastAsia" w:ascii="宋体" w:hAnsi="宋体"/>
                      <w:lang w:val="en-US" w:eastAsia="zh-CN"/>
                    </w:rPr>
                    <w:t>综合部</w:t>
                  </w:r>
                </w:p>
              </w:tc>
              <w:tc>
                <w:tcPr>
                  <w:tcW w:w="1774" w:type="dxa"/>
                  <w:shd w:val="clear" w:color="auto" w:fill="auto"/>
                  <w:vAlign w:val="center"/>
                </w:tcPr>
                <w:p>
                  <w:pPr>
                    <w:jc w:val="center"/>
                    <w:rPr>
                      <w:rFonts w:hint="default" w:ascii="宋体" w:hAnsi="宋体" w:eastAsia="宋体" w:cs="Times New Roman"/>
                      <w:color w:val="auto"/>
                      <w:kern w:val="2"/>
                      <w:sz w:val="21"/>
                      <w:szCs w:val="21"/>
                      <w:lang w:val="en-US" w:eastAsia="zh-CN" w:bidi="ar-SA"/>
                    </w:rPr>
                  </w:pPr>
                  <w:r>
                    <w:rPr>
                      <w:rFonts w:hint="eastAsia" w:ascii="宋体" w:hAnsi="宋体" w:eastAsia="宋体" w:cs="Times New Roman"/>
                      <w:color w:val="auto"/>
                      <w:sz w:val="21"/>
                      <w:szCs w:val="21"/>
                      <w:lang w:val="en-US" w:eastAsia="zh-CN"/>
                    </w:rPr>
                    <w:t>3.03</w:t>
                  </w:r>
                  <w:r>
                    <w:rPr>
                      <w:rFonts w:hint="eastAsia" w:ascii="宋体" w:hAnsi="宋体" w:cs="Times New Roman"/>
                      <w:color w:val="auto"/>
                      <w:sz w:val="21"/>
                      <w:szCs w:val="21"/>
                      <w:lang w:val="en-US" w:eastAsia="zh-CN"/>
                    </w:rPr>
                    <w:t xml:space="preserve"> </w:t>
                  </w:r>
                  <w:r>
                    <w:rPr>
                      <w:rFonts w:hint="eastAsia" w:ascii="宋体" w:hAnsi="宋体"/>
                      <w:sz w:val="21"/>
                      <w:szCs w:val="21"/>
                      <w:lang w:val="en-US" w:eastAsia="zh-CN"/>
                    </w:rPr>
                    <w:t>Kg</w:t>
                  </w:r>
                  <w:r>
                    <w:rPr>
                      <w:rFonts w:hint="eastAsia" w:ascii="宋体" w:hAnsi="宋体"/>
                      <w:sz w:val="21"/>
                      <w:szCs w:val="21"/>
                    </w:rPr>
                    <w:t>ce/</w:t>
                  </w:r>
                  <w:r>
                    <w:rPr>
                      <w:rFonts w:hint="eastAsia" w:ascii="宋体" w:hAnsi="宋体"/>
                      <w:sz w:val="21"/>
                      <w:szCs w:val="21"/>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5" w:type="dxa"/>
                  <w:shd w:val="clear" w:color="auto" w:fill="auto"/>
                  <w:vAlign w:val="center"/>
                </w:tcPr>
                <w:p>
                  <w:pPr>
                    <w:jc w:val="left"/>
                    <w:rPr>
                      <w:rFonts w:hint="eastAsia" w:ascii="宋体" w:hAnsi="宋体" w:eastAsia="宋体" w:cs="Times New Roman"/>
                      <w:kern w:val="2"/>
                      <w:sz w:val="21"/>
                      <w:szCs w:val="21"/>
                      <w:lang w:val="en-US" w:eastAsia="zh-CN" w:bidi="ar-SA"/>
                    </w:rPr>
                  </w:pPr>
                  <w:r>
                    <w:rPr>
                      <w:rFonts w:hint="eastAsia" w:ascii="宋体" w:hAnsi="宋体"/>
                      <w:sz w:val="21"/>
                      <w:szCs w:val="21"/>
                    </w:rPr>
                    <w:t>单位产值综合能耗</w:t>
                  </w:r>
                  <w:r>
                    <w:rPr>
                      <w:rFonts w:hint="eastAsia" w:ascii="宋体" w:hAnsi="宋体"/>
                      <w:sz w:val="21"/>
                      <w:szCs w:val="21"/>
                      <w:lang w:val="en-US" w:eastAsia="zh-CN"/>
                    </w:rPr>
                    <w:t>10.00</w:t>
                  </w:r>
                  <w:r>
                    <w:rPr>
                      <w:rFonts w:hint="eastAsia" w:ascii="宋体" w:hAnsi="宋体"/>
                      <w:sz w:val="21"/>
                      <w:szCs w:val="21"/>
                    </w:rPr>
                    <w:t>kgce/万元</w:t>
                  </w:r>
                </w:p>
              </w:tc>
              <w:tc>
                <w:tcPr>
                  <w:tcW w:w="2391" w:type="dxa"/>
                  <w:shd w:val="clear" w:color="auto" w:fill="auto"/>
                  <w:vAlign w:val="center"/>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增减产品附加值</w:t>
                  </w:r>
                </w:p>
              </w:tc>
              <w:tc>
                <w:tcPr>
                  <w:tcW w:w="1841" w:type="dxa"/>
                  <w:shd w:val="clear" w:color="auto" w:fill="auto"/>
                  <w:vAlign w:val="center"/>
                </w:tcPr>
                <w:p>
                  <w:pPr>
                    <w:shd w:val="clear" w:color="auto" w:fill="EBF1DE" w:themeFill="accent3" w:themeFillTint="32"/>
                    <w:rPr>
                      <w:rFonts w:hint="default" w:ascii="宋体" w:hAnsi="宋体" w:eastAsia="宋体"/>
                      <w:lang w:val="en-US" w:eastAsia="zh-CN"/>
                    </w:rPr>
                  </w:pPr>
                  <w:r>
                    <w:rPr>
                      <w:rFonts w:hint="eastAsia" w:ascii="宋体" w:hAnsi="宋体"/>
                      <w:lang w:val="en-US" w:eastAsia="zh-CN"/>
                    </w:rPr>
                    <w:t>综合部/财务部</w:t>
                  </w:r>
                </w:p>
              </w:tc>
              <w:tc>
                <w:tcPr>
                  <w:tcW w:w="1774" w:type="dxa"/>
                  <w:shd w:val="clear" w:color="auto" w:fill="auto"/>
                  <w:vAlign w:val="center"/>
                </w:tcPr>
                <w:p>
                  <w:pPr>
                    <w:jc w:val="center"/>
                    <w:rPr>
                      <w:rFonts w:hint="default" w:ascii="宋体" w:hAnsi="宋体" w:eastAsia="宋体" w:cs="Times New Roman"/>
                      <w:color w:val="auto"/>
                      <w:kern w:val="2"/>
                      <w:sz w:val="21"/>
                      <w:szCs w:val="21"/>
                      <w:lang w:val="en-US" w:eastAsia="zh-CN" w:bidi="ar-SA"/>
                    </w:rPr>
                  </w:pPr>
                  <w:r>
                    <w:rPr>
                      <w:rFonts w:hint="eastAsia" w:ascii="宋体" w:hAnsi="宋体" w:eastAsia="宋体" w:cs="Times New Roman"/>
                      <w:color w:val="auto"/>
                      <w:sz w:val="21"/>
                      <w:szCs w:val="21"/>
                      <w:lang w:val="en-US" w:eastAsia="zh-CN"/>
                    </w:rPr>
                    <w:t>2.97</w:t>
                  </w:r>
                  <w:r>
                    <w:rPr>
                      <w:rFonts w:hint="eastAsia" w:ascii="宋体" w:hAnsi="宋体" w:cs="Times New Roman"/>
                      <w:color w:val="auto"/>
                      <w:sz w:val="21"/>
                      <w:szCs w:val="21"/>
                      <w:lang w:val="en-US" w:eastAsia="zh-CN"/>
                    </w:rPr>
                    <w:t xml:space="preserve"> </w:t>
                  </w:r>
                  <w:r>
                    <w:rPr>
                      <w:rFonts w:hint="eastAsia" w:ascii="宋体" w:hAnsi="宋体"/>
                      <w:sz w:val="21"/>
                      <w:szCs w:val="21"/>
                    </w:rPr>
                    <w:t>kgce/万元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5" w:type="dxa"/>
                  <w:shd w:val="clear" w:color="auto" w:fill="auto"/>
                </w:tcPr>
                <w:p>
                  <w:pPr>
                    <w:shd w:val="clear" w:color="auto" w:fill="EBF1DE" w:themeFill="accent3" w:themeFillTint="32"/>
                  </w:pPr>
                </w:p>
              </w:tc>
              <w:tc>
                <w:tcPr>
                  <w:tcW w:w="2391" w:type="dxa"/>
                  <w:shd w:val="clear" w:color="auto" w:fill="auto"/>
                  <w:vAlign w:val="center"/>
                </w:tcPr>
                <w:p>
                  <w:pPr>
                    <w:shd w:val="clear" w:color="auto" w:fill="EBF1DE" w:themeFill="accent3" w:themeFillTint="32"/>
                    <w:rPr>
                      <w:rFonts w:ascii="宋体" w:hAnsi="宋体"/>
                    </w:rPr>
                  </w:pPr>
                </w:p>
              </w:tc>
              <w:tc>
                <w:tcPr>
                  <w:tcW w:w="1841"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jc w:val="center"/>
                    <w:rPr>
                      <w:rFonts w:hint="default" w:ascii="宋体" w:hAnsi="宋体" w:eastAsia="宋体" w:cs="Times New Roman"/>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5" w:type="dxa"/>
                  <w:shd w:val="clear" w:color="auto" w:fill="auto"/>
                </w:tcPr>
                <w:p>
                  <w:pPr>
                    <w:shd w:val="clear" w:color="auto" w:fill="EBF1DE" w:themeFill="accent3" w:themeFillTint="32"/>
                  </w:pPr>
                </w:p>
              </w:tc>
              <w:tc>
                <w:tcPr>
                  <w:tcW w:w="2391" w:type="dxa"/>
                  <w:shd w:val="clear" w:color="auto" w:fill="auto"/>
                  <w:vAlign w:val="center"/>
                </w:tcPr>
                <w:p>
                  <w:pPr>
                    <w:shd w:val="clear" w:color="auto" w:fill="EBF1DE" w:themeFill="accent3" w:themeFillTint="32"/>
                    <w:rPr>
                      <w:rFonts w:ascii="宋体" w:hAnsi="宋体"/>
                    </w:rPr>
                  </w:pPr>
                </w:p>
              </w:tc>
              <w:tc>
                <w:tcPr>
                  <w:tcW w:w="1841"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jc w:val="center"/>
                    <w:rPr>
                      <w:rFonts w:hint="default" w:ascii="宋体" w:hAnsi="宋体" w:eastAsia="宋体" w:cs="Times New Roman"/>
                      <w:color w:val="auto"/>
                      <w:kern w:val="2"/>
                      <w:sz w:val="21"/>
                      <w:szCs w:val="21"/>
                      <w:lang w:val="en-US" w:eastAsia="zh-CN" w:bidi="ar-SA"/>
                    </w:rPr>
                  </w:pPr>
                </w:p>
              </w:tc>
            </w:tr>
          </w:tbl>
          <w:p>
            <w:pPr>
              <w:shd w:val="clear" w:color="auto" w:fill="EBF1DE" w:themeFill="accent3" w:themeFillTint="32"/>
            </w:pPr>
            <w:r>
              <w:rPr>
                <w:rFonts w:hint="eastAsia" w:ascii="Wingdings" w:hAnsi="Wingdings"/>
                <w:lang w:eastAsia="zh-CN"/>
              </w:rPr>
              <w:sym w:font="Wingdings 2" w:char="0052"/>
            </w:r>
            <w:r>
              <w:rPr>
                <w:rFonts w:hint="eastAsia"/>
              </w:rPr>
              <w:t>目标已实现</w:t>
            </w:r>
          </w:p>
          <w:p>
            <w:pPr>
              <w:shd w:val="clear" w:color="auto" w:fill="EBF1DE" w:themeFill="accent3"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lang w:eastAsia="zh-CN"/>
              </w:rPr>
              <w:sym w:font="Wingdings 2" w:char="0052"/>
            </w:r>
            <w:r>
              <w:rPr>
                <w:rFonts w:hint="eastAsia"/>
              </w:rPr>
              <w:t>人力资源</w:t>
            </w:r>
            <w:r>
              <w:rPr>
                <w:rFonts w:hint="eastAsia" w:ascii="Wingdings" w:hAnsi="Wingdings"/>
                <w:lang w:eastAsia="zh-CN"/>
              </w:rPr>
              <w:sym w:font="Wingdings 2" w:char="0052"/>
            </w:r>
            <w:r>
              <w:rPr>
                <w:rFonts w:hint="eastAsia"/>
              </w:rPr>
              <w:t>自然资源</w:t>
            </w:r>
            <w:r>
              <w:rPr>
                <w:rFonts w:hint="eastAsia" w:ascii="Wingdings" w:hAnsi="Wingdings"/>
                <w:lang w:eastAsia="zh-CN"/>
              </w:rPr>
              <w:sym w:font="Wingdings 2" w:char="0052"/>
            </w:r>
            <w:r>
              <w:rPr>
                <w:rFonts w:hint="eastAsia"/>
              </w:rPr>
              <w:t>基础设施</w:t>
            </w:r>
            <w:r>
              <w:rPr>
                <w:rFonts w:hint="eastAsia" w:ascii="Wingdings" w:hAnsi="Wingdings"/>
                <w:lang w:eastAsia="zh-CN"/>
              </w:rPr>
              <w:sym w:font="Wingdings 2" w:char="0052"/>
            </w:r>
            <w:r>
              <w:rPr>
                <w:rFonts w:hint="eastAsia"/>
              </w:rPr>
              <w:t>技术</w:t>
            </w:r>
            <w:r>
              <w:rPr>
                <w:rFonts w:hint="eastAsia" w:ascii="Wingdings" w:hAnsi="Wingdings"/>
                <w:lang w:eastAsia="zh-CN"/>
              </w:rPr>
              <w:sym w:font="Wingdings 2" w:char="0052"/>
            </w:r>
            <w:r>
              <w:rPr>
                <w:rFonts w:hint="eastAsia"/>
              </w:rPr>
              <w:t>财务资源。</w:t>
            </w:r>
          </w:p>
          <w:p>
            <w:pPr>
              <w:shd w:val="clear" w:color="auto" w:fill="EBF1DE" w:themeFill="accent3" w:themeFillTint="32"/>
            </w:pPr>
            <w:r>
              <w:rPr>
                <w:rFonts w:hint="eastAsia"/>
              </w:rPr>
              <w:sym w:font="Wingdings 2" w:char="0052"/>
            </w:r>
            <w:r>
              <w:rPr>
                <w:rFonts w:hint="eastAsia"/>
              </w:rPr>
              <w:t>组织现有内部资源的能力可满足能源管理体系运行；</w:t>
            </w:r>
          </w:p>
          <w:p>
            <w:pPr>
              <w:shd w:val="clear" w:color="auto" w:fill="EBF1DE" w:themeFill="accent3" w:themeFillTint="32"/>
            </w:pPr>
            <w:r>
              <w:rPr>
                <w:rFonts w:hint="eastAsia"/>
              </w:rPr>
              <w:t>□组织现有内部资源的能力可基本满足能源管理体系运行，但是还有不足需要补充：</w:t>
            </w:r>
          </w:p>
          <w:p>
            <w:pPr>
              <w:shd w:val="clear" w:color="auto" w:fill="EBF1DE" w:themeFill="accent3" w:themeFillTint="32"/>
            </w:pPr>
            <w:r>
              <w:rPr>
                <w:rFonts w:hint="eastAsia"/>
              </w:rPr>
              <w:t>□组织现有内部资源的能力完全不能满足能源管理体系运行，需要从外部供方获得：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组织应确定并配备所需的管理人员、技术人员和生产操作/服务提供人员：</w:t>
            </w:r>
          </w:p>
          <w:p>
            <w:pPr>
              <w:shd w:val="clear" w:color="auto" w:fill="EBF1DE" w:themeFill="accent3" w:themeFillTint="32"/>
            </w:pPr>
            <w:r>
              <w:rPr>
                <w:rFonts w:hint="eastAsia"/>
              </w:rPr>
              <w:sym w:font="Wingdings 2" w:char="0052"/>
            </w:r>
            <w:r>
              <w:rPr>
                <w:rFonts w:hint="eastAsia"/>
              </w:rPr>
              <w:t>组织现有人力资源的能力可满足能源管理体系运行；</w:t>
            </w:r>
          </w:p>
          <w:p>
            <w:pPr>
              <w:shd w:val="clear" w:color="auto" w:fill="EBF1DE" w:themeFill="accent3" w:themeFillTint="32"/>
            </w:pPr>
            <w:r>
              <w:rPr>
                <w:rFonts w:hint="eastAsia"/>
              </w:rPr>
              <w:t>□组织现有人力资源的能力可基本能源管理体系运行，但是还有不足需要补充：</w:t>
            </w:r>
          </w:p>
          <w:p>
            <w:pPr>
              <w:shd w:val="clear" w:color="auto" w:fill="EBF1DE" w:themeFill="accent3" w:themeFillTint="32"/>
            </w:pPr>
            <w:r>
              <w:rPr>
                <w:rFonts w:hint="eastAsia"/>
              </w:rPr>
              <w:t>□组织现有人力资源的能力完全不能满足能源管理体系运行，需要从外部供方获得：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lang w:val="en-US" w:eastAsia="zh-CN"/>
              </w:rPr>
              <w:t>办公</w:t>
            </w:r>
            <w:r>
              <w:rPr>
                <w:rFonts w:hint="eastAsia"/>
              </w:rPr>
              <w:t>面积</w:t>
            </w:r>
            <w:r>
              <w:rPr>
                <w:rFonts w:hint="eastAsia"/>
                <w:lang w:val="en-US" w:eastAsia="zh-CN"/>
              </w:rPr>
              <w:t>800</w:t>
            </w:r>
            <w:r>
              <w:rPr>
                <w:rFonts w:hint="eastAsia"/>
              </w:rPr>
              <w:t>平方米；生产车间</w:t>
            </w:r>
            <w:r>
              <w:rPr>
                <w:rFonts w:hint="eastAsia"/>
                <w:lang w:val="en-US" w:eastAsia="zh-CN"/>
              </w:rPr>
              <w:t>/</w:t>
            </w:r>
            <w:r>
              <w:rPr>
                <w:rFonts w:hint="eastAsia"/>
              </w:rPr>
              <w:t>个；</w:t>
            </w:r>
            <w:r>
              <w:rPr>
                <w:rFonts w:hint="eastAsia"/>
                <w:highlight w:val="none"/>
              </w:rPr>
              <w:t>库房</w:t>
            </w:r>
            <w:r>
              <w:rPr>
                <w:rFonts w:hint="eastAsia"/>
                <w:highlight w:val="none"/>
                <w:lang w:val="en-US" w:eastAsia="zh-CN"/>
              </w:rPr>
              <w:t>/</w:t>
            </w:r>
            <w:r>
              <w:rPr>
                <w:rFonts w:hint="eastAsia"/>
                <w:highlight w:val="none"/>
              </w:rPr>
              <w:t>个；实验室</w:t>
            </w:r>
            <w:r>
              <w:rPr>
                <w:rFonts w:hint="eastAsia"/>
                <w:highlight w:val="none"/>
                <w:lang w:val="en-US" w:eastAsia="zh-CN"/>
              </w:rPr>
              <w:t>/</w:t>
            </w:r>
            <w:r>
              <w:rPr>
                <w:rFonts w:hint="eastAsia"/>
                <w:highlight w:val="none"/>
              </w:rPr>
              <w:t>个</w:t>
            </w:r>
            <w:r>
              <w:rPr>
                <w:rFonts w:hint="eastAsia"/>
              </w:rPr>
              <w:t>；</w:t>
            </w:r>
          </w:p>
          <w:p>
            <w:pPr>
              <w:shd w:val="clear" w:color="auto" w:fill="EBF1DE" w:themeFill="accent3" w:themeFillTint="32"/>
              <w:rPr>
                <w:u w:val="single"/>
              </w:rPr>
            </w:pPr>
            <w:r>
              <w:rPr>
                <w:rFonts w:hint="eastAsia"/>
              </w:rPr>
              <w:t>主要生产设备有：</w:t>
            </w:r>
            <w:r>
              <w:rPr>
                <w:rFonts w:hint="eastAsia" w:eastAsia="宋体"/>
                <w:u w:val="single"/>
                <w:lang w:val="en-US" w:eastAsia="zh-CN"/>
              </w:rPr>
              <w:t>电脑、打印机、空调、扫描仪</w:t>
            </w:r>
            <w:r>
              <w:rPr>
                <w:rFonts w:hint="eastAsia"/>
                <w:u w:val="single"/>
              </w:rPr>
              <w:t>（列举2~4种）</w:t>
            </w:r>
          </w:p>
          <w:p>
            <w:pPr>
              <w:shd w:val="clear" w:color="auto" w:fill="EBF1DE" w:themeFill="accent3" w:themeFillTint="32"/>
              <w:rPr>
                <w:u w:val="single"/>
              </w:rPr>
            </w:pPr>
            <w:r>
              <w:rPr>
                <w:rFonts w:hint="eastAsia"/>
              </w:rPr>
              <w:t>主要耗能设备有：</w:t>
            </w:r>
            <w:r>
              <w:rPr>
                <w:rFonts w:hint="eastAsia" w:eastAsia="宋体"/>
                <w:u w:val="single"/>
                <w:lang w:val="en-US" w:eastAsia="zh-CN"/>
              </w:rPr>
              <w:t>电脑、打印机、空调、扫描仪</w:t>
            </w:r>
            <w:r>
              <w:rPr>
                <w:rFonts w:hint="eastAsia"/>
                <w:u w:val="single"/>
              </w:rPr>
              <w:t>（列举2~4种）</w:t>
            </w:r>
          </w:p>
          <w:p>
            <w:pPr>
              <w:shd w:val="clear" w:color="auto" w:fill="EBF1DE" w:themeFill="accent3" w:themeFillTint="32"/>
            </w:pPr>
            <w:r>
              <w:rPr>
                <w:rFonts w:hint="eastAsia"/>
              </w:rPr>
              <w:t>特种设备：</w:t>
            </w:r>
            <w:r>
              <w:rPr>
                <w:rFonts w:hint="eastAsia" w:ascii="Wingdings" w:hAnsi="Wingdings"/>
                <w:lang w:eastAsia="zh-CN"/>
              </w:rPr>
              <w:sym w:font="Wingdings 2" w:char="00A3"/>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sym w:font="Wingdings 2" w:char="00A3"/>
            </w:r>
            <w:r>
              <w:rPr>
                <w:rFonts w:hint="eastAsia"/>
              </w:rPr>
              <w:t>电梯</w:t>
            </w:r>
          </w:p>
          <w:p>
            <w:pPr>
              <w:shd w:val="clear" w:color="auto" w:fill="EBF1DE" w:themeFill="accent3" w:themeFillTint="32"/>
            </w:pPr>
            <w:r>
              <w:rPr>
                <w:rFonts w:hint="eastAsia"/>
              </w:rPr>
              <w:t>辅助场所：</w:t>
            </w:r>
            <w:r>
              <w:rPr>
                <w:rFonts w:hint="eastAsia" w:ascii="Wingdings" w:hAnsi="Wingdings"/>
                <w:lang w:eastAsia="zh-CN"/>
              </w:rPr>
              <w:sym w:font="Wingdings 2" w:char="00A3"/>
            </w:r>
            <w:r>
              <w:rPr>
                <w:rFonts w:hint="eastAsia"/>
              </w:rPr>
              <w:t>高压配电室</w:t>
            </w:r>
            <w:r>
              <w:rPr>
                <w:rFonts w:hint="eastAsia" w:ascii="Wingdings" w:hAnsi="Wingdings"/>
                <w:lang w:eastAsia="zh-CN"/>
              </w:rPr>
              <w:sym w:font="Wingdings 2" w:char="00A3"/>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sym w:font="Wingdings 2" w:char="00A3"/>
            </w:r>
            <w:r>
              <w:rPr>
                <w:rFonts w:hint="eastAsia"/>
              </w:rPr>
              <w:t>食堂</w:t>
            </w:r>
            <w:r>
              <w:rPr>
                <w:rFonts w:hint="eastAsia" w:ascii="Wingdings" w:hAnsi="Wingdings"/>
                <w:lang w:eastAsia="zh-CN"/>
              </w:rPr>
              <w:t>□</w:t>
            </w:r>
            <w:r>
              <w:rPr>
                <w:rFonts w:hint="eastAsia"/>
              </w:rPr>
              <w:t>其他</w:t>
            </w:r>
          </w:p>
          <w:p>
            <w:pPr>
              <w:shd w:val="clear" w:color="auto" w:fill="EBF1DE" w:themeFill="accent3" w:themeFillTint="32"/>
            </w:pPr>
            <w:r>
              <w:rPr>
                <w:rFonts w:hint="eastAsia"/>
              </w:rPr>
              <w:sym w:font="Wingdings 2" w:char="0052"/>
            </w:r>
            <w:r>
              <w:rPr>
                <w:rFonts w:hint="eastAsia"/>
              </w:rPr>
              <w:t>组织现有基础设施可满足能源管理体系运行；</w:t>
            </w:r>
          </w:p>
          <w:p>
            <w:pPr>
              <w:shd w:val="clear" w:color="auto" w:fill="EBF1DE" w:themeFill="accent3" w:themeFillTint="32"/>
            </w:pPr>
            <w:r>
              <w:rPr>
                <w:rFonts w:hint="eastAsia"/>
              </w:rPr>
              <w:t>□组织现有基础设施可基本满足能源管理体系运行，但是还有不足需要补充：</w:t>
            </w:r>
          </w:p>
          <w:p>
            <w:pPr>
              <w:shd w:val="clear" w:color="auto" w:fill="EBF1DE" w:themeFill="accent3" w:themeFillTint="32"/>
              <w:rPr>
                <w:u w:val="single"/>
              </w:rPr>
            </w:pPr>
            <w:r>
              <w:rPr>
                <w:rFonts w:hint="eastAsia"/>
              </w:rPr>
              <w:t>□组织现有基础设施完全不能满足能源管理体系运行，需要从外部供方获得：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计量器具的测量溯源方法：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pPr>
              <w:shd w:val="clear" w:color="auto" w:fill="EBF1DE" w:themeFill="accent3" w:themeFillTint="32"/>
              <w:rPr>
                <w:u w:val="single"/>
              </w:rPr>
            </w:pPr>
            <w:r>
              <w:rPr>
                <w:rFonts w:hint="eastAsia"/>
              </w:rPr>
              <w:t>能源计量器具有：</w:t>
            </w:r>
            <w:r>
              <w:rPr>
                <w:rFonts w:hint="eastAsia"/>
                <w:u w:val="single"/>
                <w:lang w:val="en-US" w:eastAsia="zh-CN"/>
              </w:rPr>
              <w:t>电表、水表</w:t>
            </w:r>
            <w:r>
              <w:rPr>
                <w:rFonts w:hint="eastAsia"/>
                <w:u w:val="single"/>
              </w:rPr>
              <w:t>（列举1~4种）</w:t>
            </w:r>
          </w:p>
          <w:p>
            <w:pPr>
              <w:shd w:val="clear" w:color="auto" w:fill="EBF1DE" w:themeFill="accent3" w:themeFillTint="32"/>
              <w:rPr>
                <w:rFonts w:hint="default" w:eastAsia="宋体"/>
                <w:u w:val="single"/>
                <w:lang w:val="en-US" w:eastAsia="zh-CN"/>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sym w:font="Wingdings 2" w:char="00A3"/>
            </w:r>
            <w:r>
              <w:rPr>
                <w:rFonts w:hint="eastAsia"/>
              </w:rPr>
              <w:t>未进行定期校准/检定的有：</w:t>
            </w:r>
            <w:r>
              <w:rPr>
                <w:rFonts w:hint="eastAsia"/>
                <w:lang w:val="en-US" w:eastAsia="zh-CN"/>
              </w:rPr>
              <w:t>由江苏米格电气集团有限公司负责安装和检定。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w:t>
            </w:r>
            <w:r>
              <w:rPr>
                <w:rFonts w:hint="eastAsia" w:ascii="Wingdings" w:hAnsi="Wingdings"/>
                <w:lang w:eastAsia="zh-CN"/>
              </w:rPr>
              <w:sym w:font="Wingdings 2" w:char="0052"/>
            </w:r>
            <w:r>
              <w:rPr>
                <w:rFonts w:hint="eastAsia"/>
              </w:rPr>
              <w:t>招聘</w:t>
            </w:r>
            <w:r>
              <w:rPr>
                <w:rFonts w:hint="eastAsia" w:ascii="Wingdings" w:hAnsi="Wingdings"/>
                <w:lang w:eastAsia="zh-CN"/>
              </w:rPr>
              <w:sym w:font="Wingdings 2" w:char="0052"/>
            </w:r>
            <w:r>
              <w:rPr>
                <w:rFonts w:hint="eastAsia"/>
              </w:rPr>
              <w:t>换岗</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EBF1DE" w:themeFill="accent3" w:themeFillTint="32"/>
            </w:pPr>
            <w:r>
              <w:rPr>
                <w:rFonts w:hint="eastAsia"/>
              </w:rPr>
              <w:t>对国家规定持证上岗的人员资质进行了有效的管理。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组织提高员工的节能意识，确保受其控制工作的人员知晓：能源方针；相关的节能目标；他们对能源管理体系有效性的贡献，包括改进绩效的益处；不符合能源管理体系要求的后果。</w:t>
            </w:r>
          </w:p>
          <w:p>
            <w:pPr>
              <w:shd w:val="clear" w:color="auto" w:fill="EBF1DE" w:themeFill="accent3" w:themeFillTint="32"/>
            </w:pPr>
            <w:r>
              <w:rPr>
                <w:rFonts w:hint="eastAsia"/>
              </w:rPr>
              <w:t>通过</w:t>
            </w:r>
            <w:r>
              <w:rPr>
                <w:rFonts w:hint="eastAsia" w:ascii="Wingdings" w:hAnsi="Wingdings"/>
                <w:lang w:eastAsia="zh-CN"/>
              </w:rPr>
              <w:sym w:font="Wingdings 2" w:char="0052"/>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sym w:font="Wingdings 2" w:char="0052"/>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sym w:font="Wingdings 2" w:char="0052"/>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组织已确定与能源管理体系相关的信息沟通。</w:t>
            </w:r>
          </w:p>
          <w:p>
            <w:pPr>
              <w:shd w:val="clear" w:color="auto" w:fill="EBF1DE" w:themeFill="accent3" w:themeFillTint="32"/>
            </w:pPr>
            <w:r>
              <w:rPr>
                <w:rFonts w:hint="eastAsia"/>
              </w:rPr>
              <w:t>内部沟通方式：</w:t>
            </w:r>
            <w:r>
              <w:rPr>
                <w:rFonts w:hint="eastAsia" w:ascii="Wingdings" w:hAnsi="Wingdings"/>
                <w:lang w:eastAsia="zh-CN"/>
              </w:rPr>
              <w:sym w:font="Wingdings 2" w:char="0052"/>
            </w:r>
            <w:r>
              <w:rPr>
                <w:rFonts w:hint="eastAsia"/>
              </w:rPr>
              <w:t>文件发放</w:t>
            </w:r>
            <w:r>
              <w:rPr>
                <w:rFonts w:hint="eastAsia" w:ascii="Wingdings" w:hAnsi="Wingdings"/>
                <w:lang w:eastAsia="zh-CN"/>
              </w:rPr>
              <w:sym w:font="Wingdings 2" w:char="0052"/>
            </w:r>
            <w:r>
              <w:rPr>
                <w:rFonts w:hint="eastAsia"/>
              </w:rPr>
              <w:t>会议</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展板</w:t>
            </w:r>
            <w:r>
              <w:rPr>
                <w:rFonts w:hint="eastAsia" w:ascii="Wingdings" w:hAnsi="Wingdings"/>
                <w:lang w:eastAsia="zh-CN"/>
              </w:rPr>
              <w:t>□</w:t>
            </w:r>
            <w:r>
              <w:rPr>
                <w:rFonts w:hint="eastAsia"/>
              </w:rPr>
              <w:t>其他</w:t>
            </w:r>
          </w:p>
          <w:p>
            <w:pPr>
              <w:shd w:val="clear" w:color="auto" w:fill="EBF1DE" w:themeFill="accent3" w:themeFillTint="32"/>
            </w:pPr>
            <w:r>
              <w:rPr>
                <w:rFonts w:hint="eastAsia"/>
              </w:rPr>
              <w:t>外部沟通方式：</w:t>
            </w:r>
            <w:r>
              <w:rPr>
                <w:rFonts w:hint="eastAsia" w:ascii="Wingdings" w:hAnsi="Wingdings"/>
                <w:lang w:eastAsia="zh-CN"/>
              </w:rPr>
              <w:sym w:font="Wingdings 2" w:char="0052"/>
            </w:r>
            <w:r>
              <w:rPr>
                <w:rFonts w:hint="eastAsia"/>
              </w:rPr>
              <w:t>宣传材料</w:t>
            </w:r>
            <w:r>
              <w:rPr>
                <w:rFonts w:hint="eastAsia" w:ascii="Wingdings" w:hAnsi="Wingdings"/>
                <w:lang w:eastAsia="zh-CN"/>
              </w:rPr>
              <w:sym w:font="Wingdings 2" w:char="0052"/>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sym w:font="Wingdings 2" w:char="00A3"/>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组织已建立了文件化的能源管理体系。对自编文件的编制、审批、发放、变更和作废进行了控制。</w:t>
            </w:r>
            <w:r>
              <w:rPr>
                <w:rFonts w:hint="eastAsia" w:ascii="Wingdings" w:hAnsi="Wingdings"/>
                <w:lang w:eastAsia="zh-CN"/>
              </w:rPr>
              <w:sym w:font="Wingdings 2" w:char="0052"/>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EBF1DE" w:themeFill="accent3" w:themeFillTint="32"/>
            </w:pPr>
            <w:r>
              <w:rPr>
                <w:rFonts w:hint="eastAsia"/>
              </w:rPr>
              <w:t>对节能相关的外来文件（法律法规、产品标准）进行了识别和贯彻。</w:t>
            </w:r>
          </w:p>
          <w:p>
            <w:pPr>
              <w:shd w:val="clear" w:color="auto" w:fill="EBF1DE" w:themeFill="accent3" w:themeFillTint="32"/>
            </w:pPr>
            <w:r>
              <w:rPr>
                <w:rFonts w:hint="eastAsia"/>
              </w:rPr>
              <w:sym w:font="Wingdings 2" w:char="0052"/>
            </w:r>
            <w:r>
              <w:rPr>
                <w:rFonts w:hint="eastAsia"/>
              </w:rPr>
              <w:t>法律法规获取充分，□法律法规获取有遗漏，缺少：</w:t>
            </w:r>
          </w:p>
          <w:p>
            <w:pPr>
              <w:shd w:val="clear" w:color="auto" w:fill="EBF1DE" w:themeFill="accent3" w:themeFillTint="32"/>
            </w:pPr>
          </w:p>
          <w:p>
            <w:pPr>
              <w:shd w:val="clear" w:color="auto" w:fill="EBF1DE" w:themeFill="accent3" w:themeFillTint="32"/>
            </w:pPr>
            <w:r>
              <w:rPr>
                <w:rFonts w:hint="eastAsia"/>
              </w:rPr>
              <w:t>对能源管理体系相关的运行记录进行了保留、储存、保护、检索查询、处置等管理。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组织为满足节能管理的要求，已对用能过程建立了相应的运行准则；按照运行准则实施过程控制。策划文件包括：</w:t>
            </w:r>
          </w:p>
          <w:p>
            <w:pPr>
              <w:shd w:val="clear" w:color="auto" w:fill="EBF1DE" w:themeFill="accent3" w:themeFillTint="32"/>
              <w:rPr>
                <w:rFonts w:hint="default" w:eastAsia="宋体"/>
                <w:lang w:val="en-US" w:eastAsia="zh-CN"/>
              </w:rPr>
            </w:pPr>
            <w:r>
              <w:rPr>
                <w:rFonts w:hint="eastAsia" w:ascii="Times New Roman" w:hAnsi="Times New Roman" w:eastAsia="宋体" w:cs="Times New Roman"/>
                <w:lang w:eastAsia="zh-CN"/>
              </w:rPr>
              <w:sym w:font="Wingdings 2" w:char="00A3"/>
            </w:r>
            <w:r>
              <w:rPr>
                <w:rFonts w:hint="eastAsia" w:ascii="Times New Roman" w:hAnsi="Times New Roman" w:eastAsia="宋体" w:cs="Times New Roman"/>
              </w:rPr>
              <w:t>操作规程</w:t>
            </w:r>
            <w:r>
              <w:rPr>
                <w:rFonts w:hint="eastAsia" w:ascii="Times New Roman" w:hAnsi="Times New Roman" w:eastAsia="宋体" w:cs="Times New Roman"/>
                <w:lang w:eastAsia="zh-CN"/>
              </w:rPr>
              <w:sym w:font="Wingdings 2" w:char="0052"/>
            </w:r>
            <w:r>
              <w:rPr>
                <w:rFonts w:hint="eastAsia" w:ascii="Times New Roman" w:hAnsi="Times New Roman" w:eastAsia="宋体" w:cs="Times New Roman"/>
              </w:rPr>
              <w:t>作业</w:t>
            </w:r>
            <w:r>
              <w:rPr>
                <w:rFonts w:hint="eastAsia" w:ascii="Times New Roman" w:hAnsi="Times New Roman" w:eastAsia="宋体" w:cs="Times New Roman"/>
                <w:lang w:val="en-US" w:eastAsia="zh-CN"/>
              </w:rPr>
              <w:t>指导书</w:t>
            </w:r>
            <w:r>
              <w:rPr>
                <w:rFonts w:hint="eastAsia" w:ascii="Times New Roman" w:hAnsi="Times New Roman" w:eastAsia="宋体" w:cs="Times New Roman"/>
                <w:lang w:eastAsia="zh-CN"/>
              </w:rPr>
              <w:t>□</w:t>
            </w:r>
            <w:r>
              <w:rPr>
                <w:rFonts w:hint="eastAsia" w:ascii="Times New Roman" w:hAnsi="Times New Roman" w:eastAsia="宋体" w:cs="Times New Roman"/>
              </w:rPr>
              <w:t>工艺卡片</w:t>
            </w:r>
            <w:r>
              <w:rPr>
                <w:rFonts w:hint="eastAsia" w:ascii="Times New Roman" w:hAnsi="Times New Roman" w:eastAsia="宋体" w:cs="Times New Roman"/>
                <w:lang w:eastAsia="zh-CN"/>
              </w:rPr>
              <w:sym w:font="Wingdings 2" w:char="0052"/>
            </w:r>
            <w:r>
              <w:rPr>
                <w:rFonts w:hint="eastAsia" w:ascii="Times New Roman" w:hAnsi="Times New Roman" w:eastAsia="宋体" w:cs="Times New Roman"/>
              </w:rPr>
              <w:t>接收准则</w:t>
            </w:r>
            <w:r>
              <w:rPr>
                <w:rFonts w:hint="eastAsia" w:ascii="Times New Roman" w:hAnsi="Times New Roman" w:eastAsia="宋体" w:cs="Times New Roman"/>
                <w:lang w:eastAsia="zh-CN"/>
              </w:rPr>
              <w:sym w:font="Wingdings 2" w:char="0052"/>
            </w:r>
            <w:r>
              <w:rPr>
                <w:rFonts w:hint="eastAsia" w:ascii="Times New Roman" w:hAnsi="Times New Roman" w:eastAsia="宋体" w:cs="Times New Roman"/>
              </w:rPr>
              <w:t>工艺流程图</w:t>
            </w:r>
            <w:r>
              <w:rPr>
                <w:rFonts w:hint="eastAsia" w:ascii="Times New Roman" w:hAnsi="Times New Roman" w:eastAsia="宋体" w:cs="Times New Roman"/>
                <w:lang w:eastAsia="zh-CN"/>
              </w:rPr>
              <w:sym w:font="Wingdings 2" w:char="00A3"/>
            </w:r>
            <w:r>
              <w:rPr>
                <w:rFonts w:hint="eastAsia" w:ascii="Times New Roman" w:hAnsi="Times New Roman" w:eastAsia="宋体" w:cs="Times New Roman"/>
              </w:rPr>
              <w:t>其他</w:t>
            </w:r>
            <w:r>
              <w:rPr>
                <w:rFonts w:hint="eastAsia" w:ascii="Times New Roman" w:hAnsi="Times New Roman" w:eastAsia="宋体" w:cs="Times New Roman"/>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组织建立、实施和保持了适当的设计和开发过程，以确保后续的产品和服务的提供中满足能源相关的法律法规。（适用时）</w:t>
            </w:r>
          </w:p>
          <w:p>
            <w:pPr>
              <w:shd w:val="clear" w:color="auto" w:fill="EBF1DE" w:themeFill="accent3" w:themeFillTint="32"/>
            </w:pPr>
            <w:r>
              <w:rPr>
                <w:rFonts w:hint="eastAsia"/>
              </w:rPr>
              <w:t>审核期间内，设计和开发新产品/项目名称：</w:t>
            </w:r>
            <w:r>
              <w:rPr>
                <w:rFonts w:hint="eastAsia" w:ascii="Times New Roman" w:hAnsi="Times New Roman" w:eastAsia="宋体" w:cs="Times New Roman"/>
                <w:u w:val="single"/>
                <w:lang w:val="en-US" w:eastAsia="zh-CN"/>
              </w:rPr>
              <w:t>无</w:t>
            </w:r>
            <w:r>
              <w:rPr>
                <w:rFonts w:hint="eastAsia" w:ascii="Times New Roman" w:hAnsi="Times New Roman" w:eastAsia="宋体" w:cs="Times New Roman"/>
                <w:u w:val="single"/>
              </w:rPr>
              <w:t>（</w:t>
            </w:r>
            <w:r>
              <w:rPr>
                <w:rFonts w:hint="eastAsia"/>
              </w:rPr>
              <w:t>举1例）</w:t>
            </w:r>
          </w:p>
          <w:p>
            <w:pPr>
              <w:shd w:val="clear" w:color="auto" w:fill="EBF1DE" w:themeFill="accent3" w:themeFillTint="32"/>
            </w:pPr>
            <w:r>
              <w:rPr>
                <w:rFonts w:hint="eastAsia"/>
              </w:rPr>
              <w:t>对该设计和开发的项目进行了节能评估，并制订了相应的控制措施。</w:t>
            </w:r>
          </w:p>
          <w:p>
            <w:pPr>
              <w:shd w:val="clear" w:color="auto" w:fill="EBF1DE" w:themeFill="accent3" w:themeFillTint="32"/>
            </w:pPr>
            <w:r>
              <w:rPr>
                <w:rFonts w:hint="eastAsia"/>
              </w:rPr>
              <w:t>设计和开发的节能措施控制：</w:t>
            </w:r>
          </w:p>
          <w:p>
            <w:pPr>
              <w:shd w:val="clear" w:color="auto" w:fill="EBF1DE" w:themeFill="accent3" w:themeFillTint="32"/>
            </w:pPr>
            <w:r>
              <w:rPr>
                <w:rFonts w:hint="eastAsia" w:ascii="Wingdings" w:hAnsi="Wingdings"/>
                <w:lang w:eastAsia="zh-CN"/>
              </w:rPr>
              <w:sym w:font="Wingdings 2" w:char="00A3"/>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组织对外部提供的过程、产品和服务的供方按照政府对节能的影响程度实施控制。</w:t>
            </w:r>
          </w:p>
          <w:p>
            <w:pPr>
              <w:shd w:val="clear" w:color="auto" w:fill="EBF1DE" w:themeFill="accent3" w:themeFillTint="32"/>
              <w:jc w:val="left"/>
            </w:pPr>
            <w:r>
              <w:rPr>
                <w:rFonts w:hint="eastAsia"/>
              </w:rPr>
              <w:t>外部提供包括：</w:t>
            </w:r>
            <w:r>
              <w:rPr>
                <w:rFonts w:hint="eastAsia" w:ascii="Wingdings" w:hAnsi="Wingdings"/>
                <w:lang w:eastAsia="zh-CN"/>
              </w:rPr>
              <w:sym w:font="Wingdings 2" w:char="0052"/>
            </w:r>
            <w:r>
              <w:rPr>
                <w:rFonts w:hint="eastAsia"/>
              </w:rPr>
              <w:t>能源采购</w:t>
            </w:r>
            <w:r>
              <w:rPr>
                <w:rFonts w:hint="eastAsia" w:ascii="Wingdings" w:hAnsi="Wingdings"/>
                <w:lang w:eastAsia="zh-CN"/>
              </w:rPr>
              <w:sym w:font="Wingdings 2" w:char="0052"/>
            </w:r>
            <w:r>
              <w:rPr>
                <w:rFonts w:hint="eastAsia"/>
              </w:rPr>
              <w:t>主要用能设备采购</w:t>
            </w:r>
            <w:r>
              <w:rPr>
                <w:rFonts w:hint="eastAsia" w:ascii="Wingdings" w:hAnsi="Wingdings"/>
                <w:lang w:eastAsia="zh-CN"/>
              </w:rPr>
              <w:sym w:font="Wingdings 2" w:char="00A3"/>
            </w:r>
            <w:r>
              <w:rPr>
                <w:rFonts w:hint="eastAsia"/>
              </w:rPr>
              <w:t>淘汰落后设备更新</w:t>
            </w:r>
            <w:r>
              <w:rPr>
                <w:rFonts w:hint="eastAsia" w:ascii="Wingdings" w:hAnsi="Wingdings"/>
                <w:lang w:eastAsia="zh-CN"/>
              </w:rPr>
              <w:sym w:font="Wingdings 2" w:char="00A3"/>
            </w:r>
            <w:r>
              <w:rPr>
                <w:rFonts w:hint="eastAsia"/>
              </w:rPr>
              <w:t>能源计量器具采购</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lang w:eastAsia="zh-CN"/>
              </w:rPr>
              <w:sym w:font="Wingdings 2" w:char="0052"/>
            </w:r>
            <w:r>
              <w:rPr>
                <w:rFonts w:hint="eastAsia"/>
              </w:rPr>
              <w:t>合同约定</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企业主要能源消耗控制情况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主要能源使用</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运行情况（是否满足指标要求）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蒸汽消耗</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天然气消耗</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电的消耗</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加强用电管理，严格考核制度</w:t>
                  </w:r>
                </w:p>
              </w:tc>
              <w:tc>
                <w:tcPr>
                  <w:tcW w:w="3265" w:type="dxa"/>
                </w:tcPr>
                <w:p>
                  <w:pPr>
                    <w:shd w:val="clear" w:color="auto" w:fill="EBF1DE" w:themeFill="accent3" w:themeFillTint="32"/>
                    <w:jc w:val="left"/>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燃料气</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shd w:val="clear" w:color="auto" w:fill="EBF1DE" w:themeFill="accent3" w:themeFillTint="32"/>
                    <w:jc w:val="left"/>
                  </w:pPr>
                  <w:r>
                    <w:rPr>
                      <w:rFonts w:hint="eastAsia"/>
                    </w:rPr>
                    <w:t>其他</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对生产和服务提供过程的节能改进措施控制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组织对生产和服务提供的有预期和非预期的更改进行必要的节能效果评审和制订控制措施，以确保持续地符合法规要求。</w:t>
            </w:r>
          </w:p>
          <w:p>
            <w:pPr>
              <w:shd w:val="clear" w:color="auto" w:fill="EBF1DE" w:themeFill="accent3" w:themeFillTint="32"/>
            </w:pPr>
            <w:r>
              <w:rPr>
                <w:rFonts w:hint="eastAsia"/>
              </w:rPr>
              <w:t>已发生的更改包括：</w:t>
            </w:r>
            <w:r>
              <w:rPr>
                <w:rFonts w:hint="eastAsia" w:ascii="Wingdings" w:hAnsi="Wingdings"/>
                <w:lang w:eastAsia="zh-CN"/>
              </w:rPr>
              <w:sym w:font="Wingdings 2" w:char="00A3"/>
            </w:r>
            <w:r>
              <w:rPr>
                <w:rFonts w:hint="eastAsia"/>
              </w:rPr>
              <w:t>节能技术的实施</w:t>
            </w:r>
            <w:r>
              <w:rPr>
                <w:rFonts w:hint="eastAsia" w:ascii="Wingdings" w:hAnsi="Wingdings"/>
                <w:lang w:eastAsia="zh-CN"/>
              </w:rPr>
              <w:t>□</w:t>
            </w:r>
            <w:r>
              <w:rPr>
                <w:rFonts w:hint="eastAsia"/>
              </w:rPr>
              <w:t>节能设备的更新</w:t>
            </w:r>
            <w:r>
              <w:rPr>
                <w:rFonts w:hint="eastAsia" w:ascii="Wingdings" w:hAnsi="Wingdings"/>
                <w:lang w:eastAsia="zh-CN"/>
              </w:rPr>
              <w:t>□</w:t>
            </w:r>
            <w:r>
              <w:rPr>
                <w:rFonts w:hint="eastAsia"/>
              </w:rPr>
              <w:t>其他</w:t>
            </w:r>
          </w:p>
          <w:p>
            <w:pPr>
              <w:shd w:val="clear" w:color="auto" w:fill="EBF1DE" w:themeFill="accent3" w:themeFillTint="32"/>
            </w:pPr>
            <w:r>
              <w:rPr>
                <w:rFonts w:hint="eastAsia"/>
              </w:rPr>
              <w:t>变更控制：</w:t>
            </w:r>
            <w:r>
              <w:rPr>
                <w:rFonts w:hint="eastAsia" w:ascii="Wingdings" w:hAnsi="Wingdings"/>
                <w:lang w:eastAsia="zh-CN"/>
              </w:rPr>
              <w:sym w:font="Wingdings 2" w:char="00A3"/>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default" w:eastAsia="宋体"/>
                <w:lang w:val="en-US" w:eastAsia="zh-CN"/>
              </w:rPr>
            </w:pPr>
            <w:r>
              <w:rPr>
                <w:rFonts w:hint="eastAsia"/>
              </w:rPr>
              <w:t>组织识别了潜在紧急情况及应急准备时所带来的能源消耗影响；</w:t>
            </w:r>
            <w:r>
              <w:rPr>
                <w:rFonts w:hint="eastAsia"/>
                <w:lang w:val="en-US" w:eastAsia="zh-CN"/>
              </w:rPr>
              <w:t>该企业可随时实施童工，紧急情况带来的能源消耗影响可控。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已经制定了信息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ascii="Wingdings" w:hAnsi="Wingdings"/>
                <w:lang w:eastAsia="zh-CN"/>
              </w:rPr>
              <w:sym w:font="Wingdings 2" w:char="0052"/>
            </w:r>
            <w:r>
              <w:rPr>
                <w:rFonts w:hint="eastAsia"/>
              </w:rPr>
              <w:t>定期（每年）：</w:t>
            </w:r>
            <w:r>
              <w:rPr>
                <w:rFonts w:hint="eastAsia"/>
                <w:lang w:val="en-US" w:eastAsia="zh-CN"/>
              </w:rPr>
              <w:t>2022</w:t>
            </w:r>
            <w:r>
              <w:rPr>
                <w:rFonts w:hint="eastAsia"/>
              </w:rPr>
              <w:t>年</w:t>
            </w:r>
            <w:r>
              <w:rPr>
                <w:rFonts w:hint="eastAsia"/>
                <w:lang w:val="en-US" w:eastAsia="zh-CN"/>
              </w:rPr>
              <w:t>7</w:t>
            </w:r>
            <w:r>
              <w:rPr>
                <w:rFonts w:hint="eastAsia"/>
              </w:rPr>
              <w:t>月</w:t>
            </w:r>
            <w:r>
              <w:rPr>
                <w:rFonts w:hint="eastAsia"/>
                <w:lang w:val="en-US" w:eastAsia="zh-CN"/>
              </w:rPr>
              <w:t>4</w:t>
            </w:r>
            <w:r>
              <w:rPr>
                <w:rFonts w:hint="eastAsia"/>
              </w:rPr>
              <w:t>日</w:t>
            </w:r>
          </w:p>
          <w:p>
            <w:pPr>
              <w:shd w:val="clear" w:color="auto" w:fill="EBF1DE" w:themeFill="accent3" w:themeFillTint="32"/>
            </w:pPr>
            <w:r>
              <w:rPr>
                <w:rFonts w:hint="eastAsia" w:ascii="Wingdings" w:hAnsi="Wingdings"/>
                <w:lang w:eastAsia="zh-CN"/>
              </w:rPr>
              <w:t>□</w:t>
            </w:r>
            <w:r>
              <w:rPr>
                <w:rFonts w:hint="eastAsia"/>
              </w:rPr>
              <w:t>特殊情况（法规变化）：年月日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组织在适当阶段实施策划的安排，以验证能源法律法规的要求已得到满足。</w:t>
            </w:r>
          </w:p>
          <w:p>
            <w:pPr>
              <w:shd w:val="clear" w:color="auto" w:fill="EBF1DE" w:themeFill="accent3" w:themeFillTint="32"/>
            </w:pPr>
            <w:r>
              <w:rPr>
                <w:rFonts w:hint="eastAsia"/>
              </w:rPr>
              <w:t>实施的检测：</w:t>
            </w:r>
            <w:r>
              <w:rPr>
                <w:rFonts w:hint="eastAsia" w:ascii="Wingdings" w:hAnsi="Wingdings"/>
                <w:lang w:eastAsia="zh-CN"/>
              </w:rPr>
              <w:t>□</w:t>
            </w:r>
            <w:r>
              <w:rPr>
                <w:rFonts w:hint="eastAsia"/>
              </w:rPr>
              <w:t>企业自测</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其他</w:t>
            </w:r>
          </w:p>
          <w:p>
            <w:pPr>
              <w:shd w:val="clear" w:color="auto" w:fill="EBF1DE" w:themeFill="accent3" w:themeFillTint="32"/>
            </w:pPr>
          </w:p>
          <w:p>
            <w:pPr>
              <w:shd w:val="clear" w:color="auto" w:fill="EBF1DE" w:themeFill="accent3" w:themeFillTint="32"/>
            </w:pPr>
            <w:r>
              <w:rPr>
                <w:rFonts w:hint="eastAsia"/>
              </w:rPr>
              <w:t>《能效测试报告》编号：</w:t>
            </w:r>
            <w:r>
              <w:rPr>
                <w:rFonts w:hint="eastAsia"/>
                <w:lang w:val="en-US" w:eastAsia="zh-CN"/>
              </w:rPr>
              <w:t>无主要耗能设备，暂时无需实施能效测试</w:t>
            </w:r>
            <w:r>
              <w:rPr>
                <w:rFonts w:hint="eastAsia"/>
              </w:rPr>
              <w:t>。</w:t>
            </w:r>
          </w:p>
          <w:p>
            <w:pPr>
              <w:shd w:val="clear" w:color="auto" w:fill="EBF1DE" w:themeFill="accent3" w:themeFillTint="32"/>
            </w:pPr>
            <w:r>
              <w:rPr>
                <w:rFonts w:hint="eastAsia"/>
              </w:rPr>
              <w:t>达标评价：</w:t>
            </w:r>
            <w:bookmarkStart w:id="31" w:name="_GoBack"/>
            <w:bookmarkEnd w:id="31"/>
            <w:r>
              <w:rPr>
                <w:rFonts w:hint="eastAsia" w:ascii="Wingdings" w:hAnsi="Wingdings"/>
                <w:lang w:eastAsia="zh-CN"/>
              </w:rPr>
              <w:sym w:font="Wingdings 2" w:char="00A3"/>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w:t>
            </w:r>
            <w:r>
              <w:rPr>
                <w:rFonts w:hint="eastAsia"/>
              </w:rPr>
              <w:t>年</w:t>
            </w:r>
            <w:r>
              <w:rPr>
                <w:rFonts w:hint="eastAsia"/>
                <w:lang w:val="en-US" w:eastAsia="zh-CN"/>
              </w:rPr>
              <w:t>7</w:t>
            </w:r>
            <w:r>
              <w:rPr>
                <w:rFonts w:hint="eastAsia"/>
              </w:rPr>
              <w:t>月</w:t>
            </w:r>
            <w:r>
              <w:rPr>
                <w:rFonts w:hint="eastAsia"/>
                <w:lang w:val="en-US" w:eastAsia="zh-CN"/>
              </w:rPr>
              <w:t>11</w:t>
            </w:r>
            <w:r>
              <w:rPr>
                <w:rFonts w:hint="eastAsia"/>
              </w:rPr>
              <w:t>日实施了能源管理体系内部审核，对能源管理体系的符合性和有效性进行了审核。内审发现的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lang w:eastAsia="zh-CN"/>
              </w:rPr>
              <w:t>□</w:t>
            </w:r>
            <w:r>
              <w:rPr>
                <w:rFonts w:hint="eastAsia"/>
              </w:rPr>
              <w:t>对所有班次的现场操作已审核。</w:t>
            </w:r>
          </w:p>
          <w:p>
            <w:pPr>
              <w:shd w:val="clear" w:color="auto" w:fill="EBF1DE" w:themeFill="accent3" w:themeFillTint="32"/>
            </w:pPr>
            <w:r>
              <w:rPr>
                <w:rFonts w:hint="eastAsia" w:ascii="Wingdings" w:hAnsi="Wingdings"/>
                <w:lang w:eastAsia="zh-CN"/>
              </w:rPr>
              <w:sym w:font="Wingdings 2" w:char="00A3"/>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lang w:val="en-US" w:eastAsia="zh-CN"/>
              </w:rPr>
              <w:t>2022</w:t>
            </w:r>
            <w:r>
              <w:rPr>
                <w:rFonts w:hint="eastAsia"/>
              </w:rPr>
              <w:t>年</w:t>
            </w:r>
            <w:r>
              <w:rPr>
                <w:rFonts w:hint="eastAsia"/>
                <w:lang w:val="en-US" w:eastAsia="zh-CN"/>
              </w:rPr>
              <w:t>7</w:t>
            </w:r>
            <w:r>
              <w:rPr>
                <w:rFonts w:hint="eastAsia"/>
              </w:rPr>
              <w:t>月</w:t>
            </w:r>
            <w:r>
              <w:rPr>
                <w:rFonts w:hint="eastAsia"/>
                <w:lang w:val="en-US" w:eastAsia="zh-CN"/>
              </w:rPr>
              <w:t>25</w:t>
            </w:r>
            <w:r>
              <w:rPr>
                <w:rFonts w:hint="eastAsia"/>
              </w:rPr>
              <w:t>日对组织的能源管理体系进行了评审，以确保其持续的适宜性、充分性和有效性；管理评审输入、输出均按要求提供。并对提出的改进措施进行了落实。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组织已确定和选择改进机会，并采取必要措施改进能源管理体系，实现其能源管理体系的预期结果。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组织针对能源管理体系运行中的不符合采取了有效纠正和纠正措施。针对下列方面采取了纠正措施：</w:t>
            </w:r>
          </w:p>
          <w:p>
            <w:pPr>
              <w:shd w:val="clear" w:color="auto" w:fill="EBF1DE" w:themeFill="accent3" w:themeFillTint="32"/>
            </w:pPr>
            <w:r>
              <w:rPr>
                <w:rFonts w:hint="eastAsia" w:ascii="Wingdings" w:hAnsi="Wingdings"/>
                <w:lang w:eastAsia="zh-CN"/>
              </w:rPr>
              <w:sym w:font="Wingdings 2" w:char="0052"/>
            </w:r>
            <w:r>
              <w:rPr>
                <w:rFonts w:hint="eastAsia"/>
              </w:rPr>
              <w:t>检测结果不合格</w:t>
            </w:r>
            <w:r>
              <w:rPr>
                <w:rFonts w:hint="eastAsia" w:ascii="Wingdings" w:hAnsi="Wingdings"/>
                <w:lang w:eastAsia="zh-CN"/>
              </w:rPr>
              <w:sym w:font="Wingdings 2" w:char="0052"/>
            </w:r>
            <w:r>
              <w:rPr>
                <w:rFonts w:hint="eastAsia"/>
              </w:rPr>
              <w:t>自我检查的结果</w:t>
            </w:r>
            <w:r>
              <w:rPr>
                <w:rFonts w:hint="eastAsia" w:ascii="Wingdings" w:hAnsi="Wingdings"/>
                <w:lang w:eastAsia="zh-CN"/>
              </w:rPr>
              <w:sym w:font="Wingdings 2" w:char="0052"/>
            </w:r>
            <w:r>
              <w:rPr>
                <w:rFonts w:hint="eastAsia"/>
              </w:rPr>
              <w:t>主管部门要求整改</w:t>
            </w:r>
          </w:p>
          <w:p>
            <w:pPr>
              <w:shd w:val="clear" w:color="auto" w:fill="EBF1DE" w:themeFill="accent3" w:themeFillTint="32"/>
            </w:pPr>
            <w:r>
              <w:rPr>
                <w:rFonts w:hint="eastAsia" w:ascii="Wingdings" w:hAnsi="Wingdings"/>
                <w:lang w:eastAsia="zh-CN"/>
              </w:rPr>
              <w:sym w:font="Wingdings 2" w:char="0052"/>
            </w:r>
            <w:r>
              <w:rPr>
                <w:rFonts w:hint="eastAsia"/>
              </w:rPr>
              <w:t>内审不符合项</w:t>
            </w:r>
            <w:r>
              <w:rPr>
                <w:rFonts w:hint="eastAsia" w:ascii="Wingdings" w:hAnsi="Wingdings"/>
                <w:lang w:eastAsia="zh-CN"/>
              </w:rPr>
              <w:sym w:font="Wingdings 2" w:char="0052"/>
            </w:r>
            <w:r>
              <w:rPr>
                <w:rFonts w:hint="eastAsia"/>
              </w:rPr>
              <w:t>外审不符合项</w:t>
            </w:r>
            <w:r>
              <w:rPr>
                <w:rFonts w:hint="eastAsia" w:ascii="Wingdings" w:hAnsi="Wingdings"/>
                <w:lang w:eastAsia="zh-CN"/>
              </w:rPr>
              <w:sym w:font="Wingdings 2" w:char="0052"/>
            </w:r>
            <w:r>
              <w:rPr>
                <w:rFonts w:hint="eastAsia"/>
              </w:rPr>
              <w:t>管理评审</w:t>
            </w:r>
            <w:r>
              <w:rPr>
                <w:rFonts w:hint="eastAsia" w:ascii="Wingdings" w:hAnsi="Wingdings"/>
                <w:lang w:eastAsia="zh-CN"/>
              </w:rPr>
              <w:sym w:font="Wingdings 2" w:char="0052"/>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组织持续改进了能源管理体系的适宜性、充分性与有效性，以提升能源绩效。</w:t>
            </w:r>
          </w:p>
        </w:tc>
      </w:tr>
    </w:tbl>
    <w:p>
      <w:pPr>
        <w:shd w:val="clear" w:color="auto" w:fill="EBF1DE" w:themeFill="accent3" w:themeFillTint="32"/>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6.5</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6.6</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c>
          <w:tcPr>
            <w:tcW w:w="780" w:type="dxa"/>
            <w:shd w:val="clear" w:color="auto" w:fill="EBF1DE" w:themeFill="accent3" w:themeFillTint="32"/>
            <w:vAlign w:val="center"/>
          </w:tcPr>
          <w:p>
            <w:pPr>
              <w:shd w:val="clear" w:color="auto" w:fill="EBF1DE" w:themeFill="accent3" w:themeFillTint="32"/>
            </w:pPr>
            <w:r>
              <w:rPr>
                <w:rFonts w:hint="eastAsia"/>
              </w:rPr>
              <w:t>7.2</w:t>
            </w:r>
          </w:p>
        </w:tc>
        <w:tc>
          <w:tcPr>
            <w:tcW w:w="779" w:type="dxa"/>
            <w:shd w:val="clear" w:color="auto" w:fill="EBF1DE" w:themeFill="accent3" w:themeFillTint="32"/>
            <w:vAlign w:val="center"/>
          </w:tcPr>
          <w:p>
            <w:pPr>
              <w:shd w:val="clear" w:color="auto" w:fill="EBF1DE" w:themeFill="accent3" w:themeFillTint="32"/>
            </w:pPr>
            <w:r>
              <w:rPr>
                <w:rFonts w:hint="eastAsia"/>
              </w:rPr>
              <w:t>7.3</w:t>
            </w:r>
          </w:p>
        </w:tc>
        <w:tc>
          <w:tcPr>
            <w:tcW w:w="780" w:type="dxa"/>
            <w:shd w:val="clear" w:color="auto" w:fill="EBF1DE" w:themeFill="accent3" w:themeFillTint="32"/>
            <w:vAlign w:val="center"/>
          </w:tcPr>
          <w:p>
            <w:pPr>
              <w:shd w:val="clear" w:color="auto" w:fill="EBF1DE" w:themeFill="accent3" w:themeFillTint="32"/>
            </w:pPr>
            <w:r>
              <w:rPr>
                <w:rFonts w:hint="eastAsia"/>
              </w:rPr>
              <w:t>7.4</w:t>
            </w:r>
          </w:p>
        </w:tc>
        <w:tc>
          <w:tcPr>
            <w:tcW w:w="779" w:type="dxa"/>
            <w:shd w:val="clear" w:color="auto" w:fill="EBF1DE" w:themeFill="accent3" w:themeFillTint="32"/>
            <w:vAlign w:val="center"/>
          </w:tcPr>
          <w:p>
            <w:pPr>
              <w:shd w:val="clear" w:color="auto" w:fill="EBF1DE" w:themeFill="accent3" w:themeFillTint="32"/>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pPr>
            <w:r>
              <w:rPr>
                <w:rFonts w:hint="eastAsia"/>
              </w:rPr>
              <w:t>8.3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p>
    <w:p>
      <w:pPr>
        <w:spacing w:before="40" w:after="40"/>
        <w:rPr>
          <w:rFonts w:eastAsia="微软雅黑"/>
        </w:rPr>
      </w:pPr>
    </w:p>
    <w:p>
      <w:pPr>
        <w:spacing w:before="40" w:after="40"/>
        <w:rPr>
          <w:rFonts w:eastAsia="微软雅黑"/>
        </w:rPr>
      </w:pPr>
    </w:p>
    <w:sectPr>
      <w:headerReference r:id="rId3" w:type="default"/>
      <w:pgSz w:w="11906" w:h="16838"/>
      <w:pgMar w:top="1440" w:right="1080" w:bottom="1440" w:left="1080" w:header="79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1312" behindDoc="0" locked="0" layoutInCell="1" allowOverlap="1">
          <wp:simplePos x="0" y="0"/>
          <wp:positionH relativeFrom="column">
            <wp:posOffset>-85725</wp:posOffset>
          </wp:positionH>
          <wp:positionV relativeFrom="paragraph">
            <wp:posOffset>-107950</wp:posOffset>
          </wp:positionV>
          <wp:extent cx="482600" cy="485775"/>
          <wp:effectExtent l="19050" t="0" r="0" b="0"/>
          <wp:wrapTopAndBottom/>
          <wp:docPr id="6"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11.6pt;height:20.2pt;width:104.1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7760038"/>
    <w:rsid w:val="1612482B"/>
    <w:rsid w:val="706E1E4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Arial" w:hAnsi="Arial" w:eastAsia="Arial" w:cs="Arial"/>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5"/>
    <w:qFormat/>
    <w:uiPriority w:val="99"/>
    <w:rPr>
      <w:rFonts w:ascii="Times New Roman" w:hAnsi="Times New Roman" w:eastAsia="宋体" w:cs="Times New Roman"/>
      <w:sz w:val="18"/>
      <w:szCs w:val="18"/>
    </w:rPr>
  </w:style>
  <w:style w:type="character" w:customStyle="1" w:styleId="14">
    <w:name w:val="页脚 Char"/>
    <w:basedOn w:val="10"/>
    <w:link w:val="4"/>
    <w:qFormat/>
    <w:uiPriority w:val="99"/>
    <w:rPr>
      <w:rFonts w:ascii="Times New Roman" w:hAnsi="Times New Roman" w:eastAsia="宋体" w:cs="Times New Roman"/>
      <w:sz w:val="18"/>
      <w:szCs w:val="18"/>
    </w:rPr>
  </w:style>
  <w:style w:type="character" w:customStyle="1" w:styleId="15">
    <w:name w:val="批注框文本 Char"/>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32</Pages>
  <Words>4023</Words>
  <Characters>22932</Characters>
  <Lines>191</Lines>
  <Paragraphs>53</Paragraphs>
  <TotalTime>8</TotalTime>
  <ScaleCrop>false</ScaleCrop>
  <LinksUpToDate>false</LinksUpToDate>
  <CharactersWithSpaces>26902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丽英</cp:lastModifiedBy>
  <cp:lastPrinted>2019-05-13T03:19:00Z</cp:lastPrinted>
  <dcterms:modified xsi:type="dcterms:W3CDTF">2022-08-29T01:31:46Z</dcterms:modified>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2052-11.1.0.10314</vt:lpwstr>
  </property>
</Properties>
</file>