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6"/>
        <w:gridCol w:w="948"/>
        <w:gridCol w:w="949"/>
        <w:gridCol w:w="553"/>
        <w:gridCol w:w="547"/>
        <w:gridCol w:w="457"/>
        <w:gridCol w:w="934"/>
        <w:gridCol w:w="255"/>
        <w:gridCol w:w="218"/>
        <w:gridCol w:w="289"/>
        <w:gridCol w:w="302"/>
        <w:gridCol w:w="227"/>
        <w:gridCol w:w="81"/>
        <w:gridCol w:w="92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江苏宜格智能科技有限公司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宜兴市张渚镇新东路388号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江苏省宜兴市岳南路88号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范倩娴</w:t>
            </w:r>
            <w:bookmarkEnd w:id="3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13915378783</w:t>
            </w:r>
            <w:bookmarkEnd w:id="4"/>
          </w:p>
        </w:tc>
        <w:tc>
          <w:tcPr>
            <w:tcW w:w="8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2574471080@qq.com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1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代表</w:t>
            </w:r>
          </w:p>
        </w:tc>
        <w:tc>
          <w:tcPr>
            <w:tcW w:w="2873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范倩娴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6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13915378783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0583-2022-EnMS</w:t>
            </w:r>
            <w:bookmarkEnd w:id="8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32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5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3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资质范围内电子与智能化工程施工专业承包、计算机软硬件的销售所涉及的能源管理活动</w:t>
            </w:r>
            <w:bookmarkEnd w:id="16"/>
          </w:p>
        </w:tc>
        <w:tc>
          <w:tcPr>
            <w:tcW w:w="8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124-2018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2022年08月28日 下午至2022年08月29日 下午</w:t>
            </w:r>
            <w:bookmarkEnd w:id="18"/>
            <w:r>
              <w:rPr>
                <w:rFonts w:hint="eastAsia"/>
                <w:b/>
                <w:sz w:val="20"/>
              </w:rPr>
              <w:t>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派遣人"/>
            <w:r>
              <w:rPr>
                <w:sz w:val="21"/>
                <w:szCs w:val="21"/>
              </w:rPr>
              <w:t>李凤娟</w:t>
            </w:r>
            <w:bookmarkEnd w:id="19"/>
          </w:p>
        </w:tc>
        <w:tc>
          <w:tcPr>
            <w:tcW w:w="1372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  <w:tc>
          <w:tcPr>
            <w:tcW w:w="137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8"/>
        <w:gridCol w:w="1137"/>
        <w:gridCol w:w="3445"/>
        <w:gridCol w:w="210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24"/>
        <w:gridCol w:w="1126"/>
        <w:gridCol w:w="3718"/>
        <w:gridCol w:w="182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8-28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8-28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126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7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82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8-28</w:t>
            </w:r>
          </w:p>
        </w:tc>
        <w:tc>
          <w:tcPr>
            <w:tcW w:w="1424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1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827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8-28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7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外包施工过程控制、设计、能源绩效监视测量、不符合纠正及纠正措施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8-28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7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部门职责权限；目标指标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能源评审；能源绩效参数；能源基准；能源数据收集的策划；</w:t>
            </w:r>
            <w:r>
              <w:rPr>
                <w:rFonts w:hint="eastAsia"/>
                <w:sz w:val="21"/>
                <w:szCs w:val="21"/>
              </w:rPr>
              <w:t>人员能力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信息交流；文件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配电箱的管理；内部审核实施；不符合纠正及纠正措施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EnMS:5.3/6.2/6.3/6.4/6.5/6.6/7.2/7.3/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7.4/7.5/8.1/8.3/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.1/9.2/10.1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37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运行控制、能源采购（水、电、用能设备）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的控制、法律法规及其它要求的收集及合规性评价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EnMS:5.3/6.2/8.1/</w:t>
            </w:r>
            <w:bookmarkStart w:id="20" w:name="_GoBack"/>
            <w:bookmarkEnd w:id="20"/>
            <w:r>
              <w:rPr>
                <w:rFonts w:hint="eastAsia"/>
                <w:sz w:val="21"/>
                <w:szCs w:val="21"/>
                <w:lang w:val="en-US" w:eastAsia="zh-CN"/>
              </w:rPr>
              <w:t>4.2/9.1.2/10.1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11:00-15:00</w:t>
            </w:r>
          </w:p>
        </w:tc>
        <w:tc>
          <w:tcPr>
            <w:tcW w:w="1126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3.En资金支持情况；</w:t>
            </w:r>
          </w:p>
        </w:tc>
        <w:tc>
          <w:tcPr>
            <w:tcW w:w="182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En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:5.3/6.2/7.1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/10.1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15:00-15:40</w:t>
            </w:r>
          </w:p>
        </w:tc>
        <w:tc>
          <w:tcPr>
            <w:tcW w:w="112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1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审核组整理资料，与管代进行沟通</w:t>
            </w:r>
          </w:p>
        </w:tc>
        <w:tc>
          <w:tcPr>
            <w:tcW w:w="18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15:40-16:10</w:t>
            </w:r>
          </w:p>
        </w:tc>
        <w:tc>
          <w:tcPr>
            <w:tcW w:w="112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1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827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16:10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注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8月29日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审核员午餐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2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5EE"/>
    <w:rsid w:val="001905EE"/>
    <w:rsid w:val="001A2EE3"/>
    <w:rsid w:val="00487F92"/>
    <w:rsid w:val="085B0812"/>
    <w:rsid w:val="20CB4BAA"/>
    <w:rsid w:val="269410F8"/>
    <w:rsid w:val="271102BA"/>
    <w:rsid w:val="2B42167A"/>
    <w:rsid w:val="488E45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833</Words>
  <Characters>4752</Characters>
  <Lines>39</Lines>
  <Paragraphs>11</Paragraphs>
  <TotalTime>2</TotalTime>
  <ScaleCrop>false</ScaleCrop>
  <LinksUpToDate>false</LinksUpToDate>
  <CharactersWithSpaces>5574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2022-08-27T01:36:52Z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