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right"/>
        <w:rPr>
          <w:rFonts w:ascii="Times New Roman" w:hAnsi="Times New Roman" w:cs="Times New Roman"/>
          <w:sz w:val="20"/>
          <w:szCs w:val="28"/>
          <w:u w:val="single"/>
        </w:rPr>
      </w:pPr>
      <w:r>
        <w:rPr>
          <w:rFonts w:ascii="Times New Roman" w:hAnsi="Times New Roman" w:cs="Times New Roman"/>
          <w:sz w:val="20"/>
          <w:szCs w:val="28"/>
        </w:rPr>
        <w:t>编号</w:t>
      </w:r>
      <w:r>
        <w:rPr>
          <w:rFonts w:hint="eastAsia" w:ascii="Times New Roman" w:hAnsi="Times New Roman" w:cs="Times New Roman"/>
          <w:sz w:val="20"/>
          <w:szCs w:val="28"/>
        </w:rPr>
        <w:t>：</w:t>
      </w:r>
      <w:bookmarkStart w:id="0" w:name="合同编号"/>
      <w:r>
        <w:rPr>
          <w:rFonts w:ascii="Times New Roman" w:hAnsi="Times New Roman" w:cs="Times New Roman"/>
          <w:sz w:val="20"/>
          <w:szCs w:val="28"/>
          <w:u w:val="single"/>
        </w:rPr>
        <w:t>0988-2022</w:t>
      </w:r>
      <w:bookmarkEnd w:id="0"/>
    </w:p>
    <w:p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测量设备溯源</w:t>
      </w:r>
      <w:r>
        <w:rPr>
          <w:rFonts w:hint="eastAsia" w:ascii="Times New Roman" w:hAnsi="Times New Roman" w:eastAsia="宋体" w:cs="Times New Roman"/>
          <w:b/>
          <w:sz w:val="28"/>
          <w:szCs w:val="28"/>
        </w:rPr>
        <w:t>抽查</w:t>
      </w:r>
      <w:r>
        <w:rPr>
          <w:rFonts w:hint="eastAsia"/>
          <w:b/>
          <w:sz w:val="28"/>
          <w:szCs w:val="28"/>
        </w:rPr>
        <w:t>表</w:t>
      </w:r>
    </w:p>
    <w:tbl>
      <w:tblPr>
        <w:tblStyle w:val="6"/>
        <w:tblW w:w="1123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5"/>
        <w:gridCol w:w="1143"/>
        <w:gridCol w:w="1221"/>
        <w:gridCol w:w="1100"/>
        <w:gridCol w:w="1346"/>
        <w:gridCol w:w="1936"/>
        <w:gridCol w:w="1273"/>
        <w:gridCol w:w="1036"/>
        <w:gridCol w:w="10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  <w:jc w:val="center"/>
        </w:trPr>
        <w:tc>
          <w:tcPr>
            <w:tcW w:w="1125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企业名称</w:t>
            </w:r>
          </w:p>
        </w:tc>
        <w:tc>
          <w:tcPr>
            <w:tcW w:w="10107" w:type="dxa"/>
            <w:gridSpan w:val="8"/>
            <w:vAlign w:val="center"/>
          </w:tcPr>
          <w:p>
            <w:pPr>
              <w:jc w:val="left"/>
              <w:rPr>
                <w:szCs w:val="21"/>
              </w:rPr>
            </w:pPr>
            <w:bookmarkStart w:id="1" w:name="组织名称"/>
            <w:r>
              <w:rPr>
                <w:rFonts w:hint="eastAsia" w:ascii="宋体" w:hAnsi="宋体"/>
                <w:szCs w:val="21"/>
              </w:rPr>
              <w:t>大庆中英飞达油田技术开发有限公司</w:t>
            </w:r>
            <w:bookmarkEnd w:id="1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  <w:jc w:val="center"/>
        </w:trPr>
        <w:tc>
          <w:tcPr>
            <w:tcW w:w="1125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部门</w:t>
            </w:r>
          </w:p>
        </w:tc>
        <w:tc>
          <w:tcPr>
            <w:tcW w:w="1143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测量设备名称</w:t>
            </w:r>
          </w:p>
        </w:tc>
        <w:tc>
          <w:tcPr>
            <w:tcW w:w="1221" w:type="dxa"/>
            <w:vAlign w:val="center"/>
          </w:tcPr>
          <w:p>
            <w:pPr>
              <w:jc w:val="center"/>
              <w:rPr>
                <w:rFonts w:hint="default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</w:rPr>
              <w:t>测量设备编号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/管理编号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型号</w:t>
            </w:r>
          </w:p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规格</w:t>
            </w:r>
          </w:p>
        </w:tc>
        <w:tc>
          <w:tcPr>
            <w:tcW w:w="1346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测量设备</w:t>
            </w:r>
          </w:p>
          <w:p>
            <w:pPr>
              <w:ind w:firstLine="180" w:firstLineChars="100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计量特性</w:t>
            </w:r>
          </w:p>
        </w:tc>
        <w:tc>
          <w:tcPr>
            <w:tcW w:w="1936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测量标准装置名称及技术参数</w:t>
            </w:r>
          </w:p>
        </w:tc>
        <w:tc>
          <w:tcPr>
            <w:tcW w:w="1273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检定/校准机构</w:t>
            </w:r>
          </w:p>
        </w:tc>
        <w:tc>
          <w:tcPr>
            <w:tcW w:w="1036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检定/校准日期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符</w:t>
            </w:r>
            <w:r>
              <w:rPr>
                <w:rFonts w:hint="eastAsia"/>
                <w:sz w:val="18"/>
                <w:szCs w:val="18"/>
              </w:rPr>
              <w:t>合打</w:t>
            </w:r>
            <w:r>
              <w:rPr>
                <w:rFonts w:hint="eastAsia" w:ascii="宋体" w:hAnsi="宋体"/>
                <w:sz w:val="18"/>
                <w:szCs w:val="18"/>
              </w:rPr>
              <w:t>√</w:t>
            </w:r>
          </w:p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不</w:t>
            </w:r>
            <w:r>
              <w:rPr>
                <w:rFonts w:hint="eastAsia" w:ascii="宋体" w:hAnsi="宋体"/>
                <w:sz w:val="18"/>
                <w:szCs w:val="18"/>
              </w:rPr>
              <w:t>符</w:t>
            </w:r>
            <w:r>
              <w:rPr>
                <w:rFonts w:hint="eastAsia"/>
                <w:sz w:val="18"/>
                <w:szCs w:val="18"/>
              </w:rPr>
              <w:t>合打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  <w:jc w:val="center"/>
        </w:trPr>
        <w:tc>
          <w:tcPr>
            <w:tcW w:w="1125" w:type="dxa"/>
            <w:vAlign w:val="center"/>
          </w:tcPr>
          <w:p>
            <w:pPr>
              <w:jc w:val="center"/>
              <w:rPr>
                <w:rFonts w:hint="eastAsia" w:eastAsiaTheme="minorEastAsia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生产车间</w:t>
            </w:r>
          </w:p>
        </w:tc>
        <w:tc>
          <w:tcPr>
            <w:tcW w:w="1143" w:type="dxa"/>
            <w:vAlign w:val="center"/>
          </w:tcPr>
          <w:p>
            <w:pPr>
              <w:jc w:val="center"/>
              <w:rPr>
                <w:rFonts w:hint="eastAsia" w:eastAsiaTheme="minorEastAsia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游标卡尺</w:t>
            </w:r>
          </w:p>
        </w:tc>
        <w:tc>
          <w:tcPr>
            <w:tcW w:w="1221" w:type="dxa"/>
            <w:vAlign w:val="center"/>
          </w:tcPr>
          <w:p>
            <w:pPr>
              <w:jc w:val="center"/>
              <w:rPr>
                <w:rFonts w:hint="default" w:eastAsiaTheme="minorEastAsia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7673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rPr>
                <w:color w:val="auto"/>
                <w:sz w:val="18"/>
                <w:szCs w:val="18"/>
              </w:rPr>
            </w:pP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(0~300)㎜</w:t>
            </w:r>
          </w:p>
        </w:tc>
        <w:tc>
          <w:tcPr>
            <w:tcW w:w="1346" w:type="dxa"/>
            <w:vAlign w:val="center"/>
          </w:tcPr>
          <w:p>
            <w:pPr>
              <w:jc w:val="center"/>
              <w:rPr>
                <w:rFonts w:hint="default" w:eastAsiaTheme="minorEastAsia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±0.04㎜</w:t>
            </w:r>
          </w:p>
        </w:tc>
        <w:tc>
          <w:tcPr>
            <w:tcW w:w="1936" w:type="dxa"/>
            <w:vAlign w:val="center"/>
          </w:tcPr>
          <w:p>
            <w:pPr>
              <w:jc w:val="center"/>
              <w:rPr>
                <w:rFonts w:hint="default" w:eastAsiaTheme="minorEastAsia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量块5等</w:t>
            </w:r>
          </w:p>
        </w:tc>
        <w:tc>
          <w:tcPr>
            <w:tcW w:w="1273" w:type="dxa"/>
            <w:vAlign w:val="center"/>
          </w:tcPr>
          <w:p>
            <w:pPr>
              <w:jc w:val="center"/>
              <w:rPr>
                <w:color w:val="auto"/>
                <w:sz w:val="18"/>
                <w:szCs w:val="18"/>
              </w:rPr>
            </w:pP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深圳国检计量测试技术有限公司</w:t>
            </w:r>
          </w:p>
        </w:tc>
        <w:tc>
          <w:tcPr>
            <w:tcW w:w="1036" w:type="dxa"/>
            <w:vAlign w:val="center"/>
          </w:tcPr>
          <w:p>
            <w:pPr>
              <w:jc w:val="center"/>
              <w:rPr>
                <w:rFonts w:hint="default" w:eastAsiaTheme="minorEastAsia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2022.8.15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color w:val="auto"/>
                <w:sz w:val="18"/>
                <w:szCs w:val="18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  <w:jc w:val="center"/>
        </w:trPr>
        <w:tc>
          <w:tcPr>
            <w:tcW w:w="1125" w:type="dxa"/>
            <w:vAlign w:val="center"/>
          </w:tcPr>
          <w:p>
            <w:pPr>
              <w:jc w:val="center"/>
              <w:rPr>
                <w:rFonts w:hint="eastAsia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生产技术部</w:t>
            </w:r>
          </w:p>
        </w:tc>
        <w:tc>
          <w:tcPr>
            <w:tcW w:w="1143" w:type="dxa"/>
            <w:vAlign w:val="center"/>
          </w:tcPr>
          <w:p>
            <w:pPr>
              <w:jc w:val="center"/>
              <w:rPr>
                <w:rFonts w:hint="eastAsia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外径千分尺</w:t>
            </w:r>
          </w:p>
        </w:tc>
        <w:tc>
          <w:tcPr>
            <w:tcW w:w="1221" w:type="dxa"/>
            <w:vAlign w:val="center"/>
          </w:tcPr>
          <w:p>
            <w:pPr>
              <w:jc w:val="center"/>
              <w:rPr>
                <w:rFonts w:hint="default" w:eastAsiaTheme="minorEastAsia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906391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rPr>
                <w:color w:val="auto"/>
                <w:sz w:val="18"/>
                <w:szCs w:val="18"/>
              </w:rPr>
            </w:pP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(25~50)㎜</w:t>
            </w:r>
          </w:p>
        </w:tc>
        <w:tc>
          <w:tcPr>
            <w:tcW w:w="1346" w:type="dxa"/>
            <w:vAlign w:val="center"/>
          </w:tcPr>
          <w:p>
            <w:pPr>
              <w:jc w:val="center"/>
              <w:rPr>
                <w:rFonts w:hint="eastAsia" w:eastAsiaTheme="minorEastAsia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±4μm</w:t>
            </w:r>
          </w:p>
        </w:tc>
        <w:tc>
          <w:tcPr>
            <w:tcW w:w="1936" w:type="dxa"/>
            <w:vAlign w:val="center"/>
          </w:tcPr>
          <w:p>
            <w:pPr>
              <w:jc w:val="center"/>
              <w:rPr>
                <w:rFonts w:hint="eastAsia" w:eastAsia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量块 3等</w:t>
            </w:r>
          </w:p>
          <w:p>
            <w:pPr>
              <w:jc w:val="center"/>
              <w:rPr>
                <w:rFonts w:hint="eastAsia" w:eastAsia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eastAsia="宋体"/>
                <w:color w:val="auto"/>
                <w:sz w:val="18"/>
                <w:szCs w:val="18"/>
                <w:lang w:val="en-US" w:eastAsia="zh-CN"/>
              </w:rPr>
              <w:t>平行平晶 1级合格</w:t>
            </w:r>
          </w:p>
          <w:p>
            <w:pPr>
              <w:jc w:val="center"/>
              <w:rPr>
                <w:color w:val="auto"/>
                <w:sz w:val="18"/>
                <w:szCs w:val="18"/>
              </w:rPr>
            </w:pPr>
            <w:r>
              <w:rPr>
                <w:rFonts w:hint="eastAsia" w:eastAsia="宋体"/>
                <w:color w:val="auto"/>
                <w:sz w:val="18"/>
                <w:szCs w:val="18"/>
                <w:lang w:val="en-US" w:eastAsia="zh-CN"/>
              </w:rPr>
              <w:t>平面平晶1级合格</w:t>
            </w:r>
          </w:p>
        </w:tc>
        <w:tc>
          <w:tcPr>
            <w:tcW w:w="1273" w:type="dxa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深圳国检计量测试技术有限公司</w:t>
            </w:r>
          </w:p>
        </w:tc>
        <w:tc>
          <w:tcPr>
            <w:tcW w:w="1036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2022.8.15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  <w:jc w:val="center"/>
        </w:trPr>
        <w:tc>
          <w:tcPr>
            <w:tcW w:w="1125" w:type="dxa"/>
            <w:vAlign w:val="center"/>
          </w:tcPr>
          <w:p>
            <w:pPr>
              <w:jc w:val="center"/>
              <w:rPr>
                <w:color w:val="auto"/>
                <w:sz w:val="18"/>
                <w:szCs w:val="18"/>
              </w:rPr>
            </w:pP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生产车间</w:t>
            </w:r>
          </w:p>
        </w:tc>
        <w:tc>
          <w:tcPr>
            <w:tcW w:w="1143" w:type="dxa"/>
            <w:vAlign w:val="center"/>
          </w:tcPr>
          <w:p>
            <w:pPr>
              <w:jc w:val="center"/>
              <w:rPr>
                <w:rFonts w:hint="eastAsia" w:eastAsiaTheme="minorEastAsia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压力表</w:t>
            </w:r>
          </w:p>
        </w:tc>
        <w:tc>
          <w:tcPr>
            <w:tcW w:w="1221" w:type="dxa"/>
            <w:vAlign w:val="center"/>
          </w:tcPr>
          <w:p>
            <w:pPr>
              <w:jc w:val="center"/>
              <w:rPr>
                <w:rFonts w:hint="default" w:eastAsiaTheme="minorEastAsia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ZYFD-003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rPr>
                <w:rFonts w:hint="default"/>
                <w:color w:val="auto"/>
                <w:sz w:val="18"/>
                <w:szCs w:val="18"/>
                <w:lang w:val="en-US"/>
              </w:rPr>
            </w:pP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(0~1.6)MPa</w:t>
            </w:r>
          </w:p>
        </w:tc>
        <w:tc>
          <w:tcPr>
            <w:tcW w:w="1346" w:type="dxa"/>
            <w:vAlign w:val="center"/>
          </w:tcPr>
          <w:p>
            <w:pPr>
              <w:jc w:val="center"/>
              <w:rPr>
                <w:color w:val="auto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/>
                <w:snapToGrid w:val="0"/>
                <w:color w:val="auto"/>
                <w:kern w:val="0"/>
                <w:sz w:val="18"/>
                <w:szCs w:val="18"/>
              </w:rPr>
              <w:t>U</w:t>
            </w:r>
            <w:r>
              <w:rPr>
                <w:rFonts w:hint="eastAsia" w:ascii="宋体" w:hAnsi="宋体" w:eastAsia="宋体" w:cs="宋体"/>
                <w:i/>
                <w:snapToGrid w:val="0"/>
                <w:color w:val="auto"/>
                <w:kern w:val="0"/>
                <w:sz w:val="18"/>
                <w:szCs w:val="18"/>
                <w:vertAlign w:val="subscript"/>
                <w:lang w:val="en-US" w:eastAsia="zh-CN"/>
              </w:rPr>
              <w:t>rel</w:t>
            </w:r>
            <w:r>
              <w:rPr>
                <w:rFonts w:hint="eastAsia" w:ascii="宋体" w:hAnsi="宋体" w:eastAsia="宋体" w:cs="宋体"/>
                <w:i w:val="0"/>
                <w:iCs/>
                <w:snapToGrid w:val="0"/>
                <w:color w:val="auto"/>
                <w:kern w:val="0"/>
                <w:sz w:val="18"/>
                <w:szCs w:val="18"/>
                <w:vertAlign w:val="baseline"/>
                <w:lang w:val="en-US" w:eastAsia="zh-CN"/>
              </w:rPr>
              <w:t>=0.25%,</w:t>
            </w:r>
            <w:r>
              <w:rPr>
                <w:rFonts w:hint="eastAsia" w:ascii="宋体" w:hAnsi="宋体" w:eastAsia="宋体" w:cs="宋体"/>
                <w:i/>
                <w:iCs/>
                <w:snapToGrid w:val="0"/>
                <w:color w:val="auto"/>
                <w:kern w:val="0"/>
                <w:sz w:val="18"/>
                <w:szCs w:val="18"/>
                <w:lang w:val="en-US" w:eastAsia="zh-CN"/>
              </w:rPr>
              <w:t>k</w:t>
            </w:r>
            <w:r>
              <w:rPr>
                <w:rFonts w:hint="eastAsia" w:ascii="宋体" w:hAnsi="宋体" w:eastAsia="宋体" w:cs="宋体"/>
                <w:snapToGrid w:val="0"/>
                <w:color w:val="auto"/>
                <w:kern w:val="0"/>
                <w:sz w:val="18"/>
                <w:szCs w:val="18"/>
                <w:lang w:val="en-US" w:eastAsia="zh-CN"/>
              </w:rPr>
              <w:t>=2</w:t>
            </w:r>
          </w:p>
        </w:tc>
        <w:tc>
          <w:tcPr>
            <w:tcW w:w="1936" w:type="dxa"/>
            <w:vAlign w:val="center"/>
          </w:tcPr>
          <w:p>
            <w:pPr>
              <w:jc w:val="center"/>
              <w:rPr>
                <w:rFonts w:hint="default" w:eastAsiaTheme="minorEastAsia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数字压力表校准装置 0.05级</w:t>
            </w:r>
          </w:p>
        </w:tc>
        <w:tc>
          <w:tcPr>
            <w:tcW w:w="1273" w:type="dxa"/>
            <w:vAlign w:val="center"/>
          </w:tcPr>
          <w:p>
            <w:pPr>
              <w:jc w:val="center"/>
              <w:rPr>
                <w:color w:val="auto"/>
                <w:sz w:val="18"/>
                <w:szCs w:val="18"/>
              </w:rPr>
            </w:pP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深圳国检计量测试技术有限公司</w:t>
            </w:r>
          </w:p>
        </w:tc>
        <w:tc>
          <w:tcPr>
            <w:tcW w:w="1036" w:type="dxa"/>
            <w:vAlign w:val="center"/>
          </w:tcPr>
          <w:p>
            <w:pPr>
              <w:jc w:val="center"/>
              <w:rPr>
                <w:rFonts w:hint="default" w:eastAsiaTheme="minorEastAsia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2022.6.23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color w:val="auto"/>
                <w:sz w:val="18"/>
                <w:szCs w:val="18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  <w:jc w:val="center"/>
        </w:trPr>
        <w:tc>
          <w:tcPr>
            <w:tcW w:w="1125" w:type="dxa"/>
            <w:vAlign w:val="center"/>
          </w:tcPr>
          <w:p>
            <w:pPr>
              <w:jc w:val="center"/>
              <w:rPr>
                <w:color w:val="auto"/>
                <w:sz w:val="18"/>
                <w:szCs w:val="18"/>
              </w:rPr>
            </w:pP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生产技术部</w:t>
            </w:r>
          </w:p>
        </w:tc>
        <w:tc>
          <w:tcPr>
            <w:tcW w:w="1143" w:type="dxa"/>
            <w:vAlign w:val="center"/>
          </w:tcPr>
          <w:p>
            <w:pPr>
              <w:jc w:val="center"/>
              <w:rPr>
                <w:color w:val="auto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万用表</w:t>
            </w:r>
          </w:p>
        </w:tc>
        <w:tc>
          <w:tcPr>
            <w:tcW w:w="1221" w:type="dxa"/>
            <w:vAlign w:val="center"/>
          </w:tcPr>
          <w:p>
            <w:pPr>
              <w:jc w:val="center"/>
              <w:rPr>
                <w:rFonts w:hint="default" w:eastAsiaTheme="minorEastAsia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ZYFD-001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VC890D</w:t>
            </w:r>
          </w:p>
        </w:tc>
        <w:tc>
          <w:tcPr>
            <w:tcW w:w="134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DC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V</w:t>
            </w:r>
            <w:r>
              <w:rPr>
                <w:rFonts w:hint="eastAsia"/>
                <w:sz w:val="18"/>
                <w:szCs w:val="18"/>
              </w:rPr>
              <w:t>:</w:t>
            </w:r>
          </w:p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i/>
                <w:iCs/>
                <w:sz w:val="18"/>
                <w:szCs w:val="18"/>
              </w:rPr>
              <w:t>U</w:t>
            </w:r>
            <w:r>
              <w:rPr>
                <w:rFonts w:hint="eastAsia"/>
                <w:i/>
                <w:iCs/>
                <w:sz w:val="18"/>
                <w:szCs w:val="18"/>
                <w:vertAlign w:val="subscript"/>
              </w:rPr>
              <w:t>rel</w:t>
            </w:r>
            <w:r>
              <w:rPr>
                <w:rFonts w:hint="eastAsia"/>
                <w:i/>
                <w:iCs/>
                <w:sz w:val="18"/>
                <w:szCs w:val="18"/>
              </w:rPr>
              <w:t>=</w:t>
            </w:r>
            <w:r>
              <w:rPr>
                <w:rFonts w:hint="eastAsia"/>
                <w:sz w:val="18"/>
                <w:szCs w:val="18"/>
              </w:rPr>
              <w:t>0.1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7</w:t>
            </w:r>
            <w:r>
              <w:rPr>
                <w:rFonts w:hint="eastAsia"/>
                <w:sz w:val="18"/>
                <w:szCs w:val="18"/>
              </w:rPr>
              <w:t>%,</w:t>
            </w:r>
            <w:r>
              <w:rPr>
                <w:rFonts w:hint="eastAsia"/>
                <w:i/>
                <w:iCs/>
                <w:sz w:val="18"/>
                <w:szCs w:val="18"/>
              </w:rPr>
              <w:t>k</w:t>
            </w:r>
            <w:r>
              <w:rPr>
                <w:rFonts w:hint="eastAsia"/>
                <w:sz w:val="18"/>
                <w:szCs w:val="18"/>
              </w:rPr>
              <w:t>=2</w:t>
            </w:r>
          </w:p>
          <w:p>
            <w:pPr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DCI:</w:t>
            </w:r>
          </w:p>
          <w:p>
            <w:pPr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i/>
                <w:iCs/>
                <w:sz w:val="18"/>
                <w:szCs w:val="18"/>
              </w:rPr>
              <w:t>U</w:t>
            </w:r>
            <w:r>
              <w:rPr>
                <w:rFonts w:hint="eastAsia"/>
                <w:i/>
                <w:iCs/>
                <w:sz w:val="18"/>
                <w:szCs w:val="18"/>
                <w:vertAlign w:val="subscript"/>
              </w:rPr>
              <w:t>rel</w:t>
            </w:r>
            <w:r>
              <w:rPr>
                <w:rFonts w:hint="eastAsia"/>
                <w:i/>
                <w:iCs/>
                <w:sz w:val="18"/>
                <w:szCs w:val="18"/>
              </w:rPr>
              <w:t>=</w:t>
            </w:r>
            <w:r>
              <w:rPr>
                <w:rFonts w:hint="eastAsia"/>
                <w:sz w:val="18"/>
                <w:szCs w:val="18"/>
              </w:rPr>
              <w:t>0.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22</w:t>
            </w:r>
            <w:r>
              <w:rPr>
                <w:rFonts w:hint="eastAsia"/>
                <w:sz w:val="18"/>
                <w:szCs w:val="18"/>
              </w:rPr>
              <w:t>%,</w:t>
            </w:r>
            <w:r>
              <w:rPr>
                <w:rFonts w:hint="eastAsia"/>
                <w:i/>
                <w:iCs/>
                <w:sz w:val="18"/>
                <w:szCs w:val="18"/>
              </w:rPr>
              <w:t>k</w:t>
            </w:r>
            <w:r>
              <w:rPr>
                <w:rFonts w:hint="eastAsia"/>
                <w:sz w:val="18"/>
                <w:szCs w:val="18"/>
              </w:rPr>
              <w:t>=2</w:t>
            </w:r>
          </w:p>
          <w:p>
            <w:pPr>
              <w:jc w:val="center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R:</w:t>
            </w:r>
          </w:p>
          <w:p>
            <w:pPr>
              <w:jc w:val="center"/>
              <w:rPr>
                <w:rFonts w:hint="default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i/>
                <w:iCs/>
                <w:sz w:val="18"/>
                <w:szCs w:val="18"/>
              </w:rPr>
              <w:t>U</w:t>
            </w:r>
            <w:r>
              <w:rPr>
                <w:rFonts w:hint="eastAsia"/>
                <w:i/>
                <w:iCs/>
                <w:sz w:val="18"/>
                <w:szCs w:val="18"/>
                <w:vertAlign w:val="subscript"/>
              </w:rPr>
              <w:t>rel</w:t>
            </w:r>
            <w:r>
              <w:rPr>
                <w:rFonts w:hint="eastAsia"/>
                <w:i/>
                <w:iCs/>
                <w:sz w:val="18"/>
                <w:szCs w:val="18"/>
              </w:rPr>
              <w:t>=</w:t>
            </w:r>
            <w:r>
              <w:rPr>
                <w:rFonts w:hint="eastAsia"/>
                <w:sz w:val="18"/>
                <w:szCs w:val="18"/>
              </w:rPr>
              <w:t>0.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21</w:t>
            </w:r>
            <w:r>
              <w:rPr>
                <w:rFonts w:hint="eastAsia"/>
                <w:sz w:val="18"/>
                <w:szCs w:val="18"/>
              </w:rPr>
              <w:t>%,</w:t>
            </w:r>
            <w:r>
              <w:rPr>
                <w:rFonts w:hint="eastAsia"/>
                <w:i/>
                <w:iCs/>
                <w:sz w:val="18"/>
                <w:szCs w:val="18"/>
              </w:rPr>
              <w:t>k</w:t>
            </w:r>
            <w:r>
              <w:rPr>
                <w:rFonts w:hint="eastAsia"/>
                <w:sz w:val="18"/>
                <w:szCs w:val="18"/>
              </w:rPr>
              <w:t>=2</w:t>
            </w:r>
          </w:p>
        </w:tc>
        <w:tc>
          <w:tcPr>
            <w:tcW w:w="1936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多功能校准仪</w:t>
            </w:r>
          </w:p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DCU:</w:t>
            </w:r>
            <w:r>
              <w:rPr>
                <w:rFonts w:hint="eastAsia"/>
                <w:i/>
                <w:iCs/>
                <w:sz w:val="18"/>
                <w:szCs w:val="18"/>
              </w:rPr>
              <w:t>U</w:t>
            </w:r>
            <w:r>
              <w:rPr>
                <w:rFonts w:hint="eastAsia"/>
                <w:i/>
                <w:iCs/>
                <w:sz w:val="18"/>
                <w:szCs w:val="18"/>
                <w:vertAlign w:val="subscript"/>
              </w:rPr>
              <w:t>rel</w:t>
            </w:r>
            <w:r>
              <w:rPr>
                <w:rFonts w:hint="eastAsia"/>
                <w:i/>
                <w:iCs/>
                <w:sz w:val="18"/>
                <w:szCs w:val="18"/>
              </w:rPr>
              <w:t>=</w:t>
            </w:r>
            <w:r>
              <w:rPr>
                <w:rFonts w:hint="eastAsia"/>
                <w:sz w:val="18"/>
                <w:szCs w:val="18"/>
              </w:rPr>
              <w:t>0.0004%,</w:t>
            </w:r>
            <w:r>
              <w:rPr>
                <w:rFonts w:hint="eastAsia"/>
                <w:i/>
                <w:iCs/>
                <w:sz w:val="18"/>
                <w:szCs w:val="18"/>
              </w:rPr>
              <w:t>k</w:t>
            </w:r>
            <w:r>
              <w:rPr>
                <w:rFonts w:hint="eastAsia"/>
                <w:sz w:val="18"/>
                <w:szCs w:val="18"/>
              </w:rPr>
              <w:t>=2</w:t>
            </w:r>
          </w:p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ACI:</w:t>
            </w:r>
            <w:r>
              <w:rPr>
                <w:rFonts w:hint="eastAsia"/>
                <w:i/>
                <w:iCs/>
                <w:sz w:val="18"/>
                <w:szCs w:val="18"/>
              </w:rPr>
              <w:t>U</w:t>
            </w:r>
            <w:r>
              <w:rPr>
                <w:rFonts w:hint="eastAsia"/>
                <w:i/>
                <w:iCs/>
                <w:sz w:val="18"/>
                <w:szCs w:val="18"/>
                <w:vertAlign w:val="subscript"/>
              </w:rPr>
              <w:t>rel</w:t>
            </w:r>
            <w:r>
              <w:rPr>
                <w:rFonts w:hint="eastAsia"/>
                <w:i/>
                <w:iCs/>
                <w:sz w:val="18"/>
                <w:szCs w:val="18"/>
              </w:rPr>
              <w:t>=</w:t>
            </w:r>
            <w:r>
              <w:rPr>
                <w:rFonts w:hint="eastAsia"/>
                <w:sz w:val="18"/>
                <w:szCs w:val="18"/>
              </w:rPr>
              <w:t>0.04%,</w:t>
            </w:r>
            <w:r>
              <w:rPr>
                <w:rFonts w:hint="eastAsia"/>
                <w:i/>
                <w:iCs/>
                <w:sz w:val="18"/>
                <w:szCs w:val="18"/>
              </w:rPr>
              <w:t>k</w:t>
            </w:r>
            <w:r>
              <w:rPr>
                <w:rFonts w:hint="eastAsia"/>
                <w:sz w:val="18"/>
                <w:szCs w:val="18"/>
              </w:rPr>
              <w:t>=2</w:t>
            </w:r>
          </w:p>
          <w:p>
            <w:pPr>
              <w:jc w:val="center"/>
              <w:rPr>
                <w:color w:val="auto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T:</w:t>
            </w:r>
            <w:r>
              <w:rPr>
                <w:rFonts w:hint="eastAsia"/>
                <w:i/>
                <w:iCs/>
                <w:sz w:val="18"/>
                <w:szCs w:val="18"/>
              </w:rPr>
              <w:t>U</w:t>
            </w:r>
            <w:r>
              <w:rPr>
                <w:rFonts w:hint="eastAsia"/>
                <w:i/>
                <w:iCs/>
                <w:sz w:val="18"/>
                <w:szCs w:val="18"/>
                <w:vertAlign w:val="subscript"/>
              </w:rPr>
              <w:t>rel</w:t>
            </w:r>
            <w:r>
              <w:rPr>
                <w:rFonts w:hint="eastAsia"/>
                <w:i/>
                <w:iCs/>
                <w:sz w:val="18"/>
                <w:szCs w:val="18"/>
              </w:rPr>
              <w:t>=</w:t>
            </w:r>
            <w:r>
              <w:rPr>
                <w:rFonts w:hint="eastAsia"/>
                <w:sz w:val="18"/>
                <w:szCs w:val="18"/>
              </w:rPr>
              <w:t>0.3%,</w:t>
            </w:r>
            <w:r>
              <w:rPr>
                <w:rFonts w:hint="eastAsia"/>
                <w:i/>
                <w:iCs/>
                <w:sz w:val="18"/>
                <w:szCs w:val="18"/>
              </w:rPr>
              <w:t>k</w:t>
            </w:r>
            <w:r>
              <w:rPr>
                <w:rFonts w:hint="eastAsia"/>
                <w:sz w:val="18"/>
                <w:szCs w:val="18"/>
              </w:rPr>
              <w:t>=2</w:t>
            </w:r>
          </w:p>
        </w:tc>
        <w:tc>
          <w:tcPr>
            <w:tcW w:w="1273" w:type="dxa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深圳国检计量测试技术有限公司</w:t>
            </w:r>
          </w:p>
        </w:tc>
        <w:tc>
          <w:tcPr>
            <w:tcW w:w="1036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2022.6.23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color w:val="auto"/>
                <w:sz w:val="18"/>
                <w:szCs w:val="18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0" w:hRule="atLeast"/>
          <w:jc w:val="center"/>
        </w:trPr>
        <w:tc>
          <w:tcPr>
            <w:tcW w:w="11232" w:type="dxa"/>
            <w:gridSpan w:val="9"/>
          </w:tcPr>
          <w:p>
            <w:pP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审核综合意見：</w:t>
            </w:r>
          </w:p>
          <w:p>
            <w:pPr>
              <w:widowControl/>
              <w:jc w:val="left"/>
              <w:rPr>
                <w:rFonts w:hint="eastAsia" w:ascii="宋体" w:hAnsi="宋体" w:eastAsia="宋体" w:cs="宋体"/>
                <w:color w:val="0000FF"/>
                <w:kern w:val="0"/>
                <w:szCs w:val="21"/>
              </w:rPr>
            </w:pPr>
          </w:p>
          <w:p>
            <w:pPr>
              <w:widowControl/>
              <w:jc w:val="left"/>
              <w:rPr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</w:rPr>
              <w:t>公司已制定《计量确认管理程序》、《外部供方管理程序》，《测量设备溯源管理程序》，公司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Cs w:val="21"/>
              </w:rPr>
              <w:t>未</w:t>
            </w: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</w:rPr>
              <w:t>建最高计量标准，测量设备由</w:t>
            </w: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lang w:val="en-US" w:eastAsia="zh-CN"/>
              </w:rPr>
              <w:t>生产技术部</w:t>
            </w: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</w:rPr>
              <w:t>负责溯源。公司测量设备全部委</w:t>
            </w:r>
            <w:bookmarkStart w:id="2" w:name="_GoBack"/>
            <w:bookmarkEnd w:id="2"/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</w:rPr>
              <w:t>托</w:t>
            </w: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lang w:val="en-US" w:eastAsia="zh-CN"/>
              </w:rPr>
              <w:t>深圳国检计量测试技术有限公司</w:t>
            </w: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</w:rPr>
              <w:t>检定/校准，校准</w:t>
            </w:r>
            <w:r>
              <w:rPr>
                <w:rFonts w:ascii="Calibri" w:hAnsi="Calibri" w:eastAsia="宋体" w:cs="Calibri"/>
                <w:color w:val="auto"/>
                <w:kern w:val="0"/>
                <w:szCs w:val="21"/>
              </w:rPr>
              <w:t>/</w:t>
            </w: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</w:rPr>
              <w:t>检定证书由</w:t>
            </w: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lang w:val="en-US" w:eastAsia="zh-CN"/>
              </w:rPr>
              <w:t>生产技术部</w:t>
            </w: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</w:rPr>
              <w:t>保存。根据抽查情况，该公司的校准情况符合溯源性要求。</w:t>
            </w:r>
          </w:p>
          <w:p>
            <w:pPr>
              <w:rPr>
                <w:rFonts w:ascii="宋体" w:hAnsi="宋体"/>
                <w:color w:val="auto"/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rFonts w:ascii="Times New Roman" w:hAnsi="Times New Roman" w:eastAsia="宋体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  <w:jc w:val="center"/>
        </w:trPr>
        <w:tc>
          <w:tcPr>
            <w:tcW w:w="11232" w:type="dxa"/>
            <w:gridSpan w:val="9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审核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日期：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2022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年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8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月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20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日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全天</w:t>
            </w:r>
            <w:r>
              <w:rPr>
                <w:rFonts w:ascii="Times New Roman" w:hAnsi="Times New Roman" w:eastAsia="宋体" w:cs="Times New Roman"/>
                <w:szCs w:val="21"/>
              </w:rPr>
              <w:t>~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8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月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21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日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上午</w:t>
            </w:r>
          </w:p>
          <w:p>
            <w:pPr>
              <w:spacing w:line="360" w:lineRule="auto"/>
              <w:rPr>
                <w:rFonts w:ascii="Times New Roman" w:hAnsi="Times New Roman" w:eastAsia="宋体" w:cs="Times New Roman"/>
                <w:color w:val="0000FF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审核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员签字：</w:t>
            </w:r>
            <w:r>
              <w:rPr>
                <w:rFonts w:hint="eastAsia"/>
                <w:b/>
                <w:bCs/>
                <w:color w:val="000000"/>
                <w:szCs w:val="21"/>
              </w:rPr>
              <w:drawing>
                <wp:inline distT="0" distB="0" distL="114300" distR="114300">
                  <wp:extent cx="650240" cy="325120"/>
                  <wp:effectExtent l="0" t="0" r="5080" b="10160"/>
                  <wp:docPr id="1" name="图片 1" descr="114e4949f7b34d7a9d72d75eb5da6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14e4949f7b34d7a9d72d75eb5da6f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40" cy="32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 xml:space="preserve">                              部门代表签字：</w:t>
            </w:r>
            <w:r>
              <w:rPr>
                <w:rFonts w:ascii="Times New Roman" w:hAnsi="Times New Roman" w:eastAsia="宋体" w:cs="Times New Roman"/>
                <w:color w:val="0000FF"/>
                <w:szCs w:val="21"/>
              </w:rPr>
              <w:t xml:space="preserve"> </w:t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755015" cy="339725"/>
                  <wp:effectExtent l="0" t="0" r="6985" b="10795"/>
                  <wp:docPr id="60" name="图片 60" descr="2d7639c08ced46dd4352b05acd2fe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2d7639c08ced46dd4352b05acd2fe0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biLevel thresh="50000"/>
                          </a:blip>
                          <a:srcRect l="38539" t="70779" r="47101" b="243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15" cy="33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rPr>
                <w:rFonts w:ascii="Times New Roman" w:hAnsi="Times New Roman" w:eastAsia="宋体" w:cs="Times New Roman"/>
                <w:szCs w:val="21"/>
              </w:rPr>
            </w:pPr>
          </w:p>
        </w:tc>
      </w:tr>
    </w:tbl>
    <w:p/>
    <w:p>
      <w:r>
        <w:rPr>
          <w:rFonts w:hint="eastAsia"/>
        </w:rPr>
        <w:t>说明：“测量设备计量特性”可以填写测量设备的最大允差、准确度等级或校准结果的测量不确定度。</w:t>
      </w:r>
    </w:p>
    <w:sectPr>
      <w:headerReference r:id="rId3" w:type="default"/>
      <w:footerReference r:id="rId4" w:type="default"/>
      <w:pgSz w:w="11906" w:h="16838"/>
      <w:pgMar w:top="720" w:right="720" w:bottom="720" w:left="720" w:header="39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spacing w:line="320" w:lineRule="exact"/>
      <w:ind w:firstLine="840" w:firstLineChars="400"/>
      <w:jc w:val="left"/>
    </w:pPr>
    <w:r>
      <w:rPr>
        <w:rFonts w:ascii="Times New Roman" w:hAnsi="Times New Roman" w:cs="Times New Roman"/>
        <w:sz w:val="21"/>
        <w:szCs w:val="21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-38100</wp:posOffset>
          </wp:positionH>
          <wp:positionV relativeFrom="paragraph">
            <wp:posOffset>100330</wp:posOffset>
          </wp:positionV>
          <wp:extent cx="485775" cy="485775"/>
          <wp:effectExtent l="19050" t="0" r="9525" b="0"/>
          <wp:wrapTopAndBottom/>
          <wp:docPr id="29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sz w:val="21"/>
        <w:szCs w:val="21"/>
      </w:rPr>
      <w:pict>
        <v:shape id="_x0000_s2049" o:spid="_x0000_s2049" o:spt="202" type="#_x0000_t202" style="position:absolute;left:0pt;margin-left:297.25pt;margin-top:11pt;height:20.6pt;width:215.85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cs="Times New Roman"/>
                    <w:szCs w:val="21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ISC-A-I-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09</w:t>
                </w:r>
                <w:r>
                  <w:rPr>
                    <w:rFonts w:ascii="Times New Roman" w:hAnsi="Times New Roman" w:cs="Times New Roman"/>
                    <w:szCs w:val="21"/>
                  </w:rPr>
                  <w:t>测量设备溯源抽查表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（07版）</w:t>
                </w:r>
              </w:p>
            </w:txbxContent>
          </v:textbox>
        </v:shape>
      </w:pict>
    </w:r>
    <w:r>
      <w:tab/>
    </w:r>
  </w:p>
  <w:p>
    <w:pPr>
      <w:pStyle w:val="4"/>
      <w:pBdr>
        <w:bottom w:val="none" w:color="auto" w:sz="0" w:space="0"/>
      </w:pBdr>
      <w:spacing w:line="320" w:lineRule="exact"/>
      <w:ind w:left="-1023" w:leftChars="-487" w:firstLine="1793" w:firstLineChars="854"/>
      <w:jc w:val="left"/>
      <w:rPr>
        <w:rStyle w:val="11"/>
        <w:rFonts w:hint="default" w:ascii="Times New Roman" w:hAnsi="Times New Roman" w:cs="Times New Roman"/>
        <w:szCs w:val="21"/>
      </w:rPr>
    </w:pPr>
    <w:r>
      <w:rPr>
        <w:rStyle w:val="11"/>
        <w:rFonts w:hint="default" w:ascii="Times New Roman" w:hAnsi="Times New Roman" w:cs="Times New Roman"/>
        <w:szCs w:val="21"/>
      </w:rPr>
      <w:t>北京国标联合认证有限公司</w:t>
    </w:r>
  </w:p>
  <w:p>
    <w:pPr>
      <w:pStyle w:val="4"/>
      <w:pBdr>
        <w:bottom w:val="none" w:color="auto" w:sz="0" w:space="0"/>
      </w:pBdr>
      <w:spacing w:line="320" w:lineRule="exact"/>
      <w:ind w:firstLine="756" w:firstLineChars="450"/>
      <w:jc w:val="left"/>
    </w:pPr>
    <w:r>
      <w:rPr>
        <w:rStyle w:val="11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  <w:p>
    <w:r>
      <w:pict>
        <v:shape id="直接连接符 3" o:spid="_x0000_s2050" o:spt="32" type="#_x0000_t32" style="position:absolute;left:0pt;margin-left:-0.45pt;margin-top:3pt;height:0pt;width:532.2pt;z-index:251660288;mso-width-relative:page;mso-height-relative:page;" filled="f" coordsize="21600,21600" adj="-1443,-1,-1443">
          <v:path arrowok="t"/>
          <v:fill on="f" focussize="0,0"/>
          <v:stroke/>
          <v:imagedata o:title=""/>
          <o:lock v:ext="edi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  <o:rules v:ext="edit">
        <o:r id="V:Rule1" type="connector" idref="#直接连接符 3"/>
      </o:rules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jk2NzRhYjhhZTI5Mzg5NTlkZTA0MDI1YWFiNDMwM2EifQ=="/>
  </w:docVars>
  <w:rsids>
    <w:rsidRoot w:val="00000000"/>
    <w:rsid w:val="076D2460"/>
    <w:rsid w:val="25717F69"/>
    <w:rsid w:val="2A0E69E3"/>
    <w:rsid w:val="358D414B"/>
    <w:rsid w:val="788401E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paragraph" w:customStyle="1" w:styleId="10">
    <w:name w:val="列出段落1"/>
    <w:basedOn w:val="1"/>
    <w:qFormat/>
    <w:uiPriority w:val="34"/>
    <w:pPr>
      <w:ind w:firstLine="420" w:firstLineChars="200"/>
    </w:pPr>
  </w:style>
  <w:style w:type="character" w:customStyle="1" w:styleId="11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2">
    <w:name w:val="批注框文本 Char"/>
    <w:basedOn w:val="7"/>
    <w:link w:val="2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452</Words>
  <Characters>596</Characters>
  <Lines>3</Lines>
  <Paragraphs>1</Paragraphs>
  <TotalTime>1</TotalTime>
  <ScaleCrop>false</ScaleCrop>
  <LinksUpToDate>false</LinksUpToDate>
  <CharactersWithSpaces>631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2015-11-02T14:51:00Z</dcterms:created>
  <dc:creator>alexander chang</dc:creator>
  <cp:lastModifiedBy>A</cp:lastModifiedBy>
  <dcterms:modified xsi:type="dcterms:W3CDTF">2022-08-20T03:37:57Z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6837808F312D493DB1DC84C78CF40C91</vt:lpwstr>
  </property>
</Properties>
</file>