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平湖聚笙餐饮管理有限公司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0989-2022-QEOFH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浙江省嘉兴市平湖市钟埭街道兴平一路1888号第7栋1楼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高利斌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浙江省嘉兴市平湖市钟埭街道兴平一路1888号第7栋1楼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15957336036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15957336036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职业健康安全管理体系,质量管理体系,环境管理体系,食品安全管理体系,危害分析与关键控制点体系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O：集体用餐配送（热食类食品制售）所涉及场所的相关职业健康安全管理活动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Q：集体用餐配送（热食类食品制售）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E：集体用餐配送（热食类食品制售）所涉及场所的相关环境管理活动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F：位于浙江省嘉兴市平湖市钟埭街道兴平一路1888号第7栋1楼平湖聚笙餐饮管理有限公司的集体用餐配送（热食类食品制售）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H：位于浙江省嘉兴市平湖市钟埭街道兴平一路1888号第7栋1楼平湖聚笙餐饮管理有限公司的集体用餐配送（热食类食品制售）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O:18,Q:18,E:18,F:18,H:18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trike w:val="0"/>
                <w:dstrike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trike w:val="0"/>
                <w:dstrike w:val="0"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trike w:val="0"/>
                <w:dstrike w:val="0"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i1025" o:spt="75" alt="肖新龙03" type="#_x0000_t75" style="height:50pt;width:86.3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2022-08-24日，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人/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生产部、运营部、食品安全小组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Q7.1.5/F8.7/H3.6，Q7.1.3/F8.2/H3.3,Q8.5.1/F8.5.4.5/H4.3.4.3,Q8.6/F8.8/H4.5,E9.1.1/O9.1.1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</w:t>
            </w:r>
            <w:r>
              <w:rPr>
                <w:rFonts w:hint="eastAsia" w:ascii="宋体" w:hAnsi="宋体"/>
                <w:strike/>
                <w:dstrike w:val="0"/>
                <w:sz w:val="24"/>
              </w:rPr>
              <w:t>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本次远程活动中，是否实现审核目标     □是    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FSMS/HACCP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71.85pt;width:124.0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2022-08-27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6F1D1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17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2022-09-21T01:27:24Z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