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00" w:lineRule="exact"/>
        <w:rPr>
          <w:rFonts w:eastAsia="隶书"/>
          <w:color w:val="000000"/>
          <w:szCs w:val="21"/>
        </w:rPr>
      </w:pPr>
      <w:r>
        <w:rPr>
          <w:rFonts w:hint="eastAsia" w:eastAsia="隶书"/>
          <w:color w:val="000000"/>
          <w:szCs w:val="21"/>
        </w:rPr>
        <w:t>附</w:t>
      </w:r>
    </w:p>
    <w:p>
      <w:pPr>
        <w:pStyle w:val="3"/>
        <w:pBdr>
          <w:bottom w:val="none" w:color="auto" w:sz="0" w:space="0"/>
        </w:pBdr>
        <w:ind w:right="600" w:firstLine="660"/>
        <w:rPr>
          <w:rFonts w:eastAsia="隶书"/>
          <w:color w:val="000000"/>
          <w:sz w:val="21"/>
          <w:szCs w:val="21"/>
        </w:rPr>
      </w:pPr>
      <w:r>
        <w:rPr>
          <w:rFonts w:hint="eastAsia" w:eastAsia="隶书"/>
          <w:color w:val="000000"/>
          <w:sz w:val="21"/>
          <w:szCs w:val="21"/>
        </w:rPr>
        <w:t>一阶段现场审核问题清单</w:t>
      </w:r>
    </w:p>
    <w:p>
      <w:pPr>
        <w:pStyle w:val="3"/>
        <w:pBdr>
          <w:bottom w:val="none" w:color="auto" w:sz="0" w:space="0"/>
        </w:pBdr>
        <w:ind w:right="600"/>
        <w:jc w:val="both"/>
        <w:rPr>
          <w:rFonts w:hint="default" w:eastAsia="隶书"/>
          <w:color w:val="000000"/>
          <w:sz w:val="21"/>
          <w:szCs w:val="21"/>
          <w:lang w:val="en-US" w:eastAsia="zh-CN"/>
        </w:rPr>
      </w:pPr>
      <w:r>
        <w:rPr>
          <w:rFonts w:hint="eastAsia" w:eastAsia="隶书"/>
          <w:color w:val="000000"/>
          <w:sz w:val="21"/>
          <w:szCs w:val="21"/>
        </w:rPr>
        <w:t>受审核方：</w:t>
      </w:r>
      <w:r>
        <w:rPr>
          <w:rFonts w:hint="eastAsia" w:eastAsia="隶书"/>
          <w:color w:val="000000"/>
          <w:sz w:val="21"/>
          <w:szCs w:val="21"/>
          <w:lang w:val="en-US" w:eastAsia="zh-CN"/>
        </w:rPr>
        <w:t>平湖聚笙餐饮管理有限公司</w:t>
      </w:r>
    </w:p>
    <w:tbl>
      <w:tblPr>
        <w:tblStyle w:val="4"/>
        <w:tblW w:w="101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3899"/>
        <w:gridCol w:w="2403"/>
        <w:gridCol w:w="922"/>
        <w:gridCol w:w="1133"/>
        <w:gridCol w:w="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3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Cs w:val="21"/>
              </w:rPr>
              <w:t>序号</w:t>
            </w:r>
          </w:p>
        </w:tc>
        <w:tc>
          <w:tcPr>
            <w:tcW w:w="6302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Cs w:val="21"/>
              </w:rPr>
              <w:t>问题描述</w:t>
            </w:r>
          </w:p>
        </w:tc>
        <w:tc>
          <w:tcPr>
            <w:tcW w:w="92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Cs w:val="21"/>
              </w:rPr>
              <w:t>管理体系标准</w:t>
            </w:r>
          </w:p>
        </w:tc>
        <w:tc>
          <w:tcPr>
            <w:tcW w:w="113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Cs w:val="21"/>
              </w:rPr>
              <w:t>对应的标准条款</w:t>
            </w:r>
          </w:p>
        </w:tc>
        <w:tc>
          <w:tcPr>
            <w:tcW w:w="93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Cs w:val="21"/>
              </w:rPr>
              <w:t>问题等级注）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37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spacing w:line="360" w:lineRule="auto"/>
              <w:ind w:right="600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6302" w:type="dxa"/>
            <w:gridSpan w:val="2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查看现场：</w:t>
            </w:r>
          </w:p>
          <w:p>
            <w:pPr>
              <w:pStyle w:val="3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洗碗间与加工间通道直通，餐食封盖（属内包）在外包区域（操作人员也未佩戴口罩），存在重大交叉风险；</w:t>
            </w:r>
          </w:p>
        </w:tc>
        <w:tc>
          <w:tcPr>
            <w:tcW w:w="922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Q</w:t>
            </w:r>
          </w:p>
          <w:p>
            <w:pPr>
              <w:pStyle w:val="3"/>
              <w:pBdr>
                <w:bottom w:val="none" w:color="auto" w:sz="0" w:space="0"/>
              </w:pBdr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F</w:t>
            </w:r>
          </w:p>
          <w:p>
            <w:pPr>
              <w:pStyle w:val="3"/>
              <w:pBdr>
                <w:bottom w:val="none" w:color="auto" w:sz="0" w:space="0"/>
              </w:pBdr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H</w:t>
            </w:r>
          </w:p>
        </w:tc>
        <w:tc>
          <w:tcPr>
            <w:tcW w:w="1133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8.5.1</w:t>
            </w:r>
          </w:p>
          <w:p>
            <w:pPr>
              <w:pStyle w:val="3"/>
              <w:pBdr>
                <w:bottom w:val="none" w:color="auto" w:sz="0" w:space="0"/>
              </w:pBdr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8.2</w:t>
            </w:r>
          </w:p>
          <w:p>
            <w:pPr>
              <w:pStyle w:val="3"/>
              <w:pBdr>
                <w:bottom w:val="none" w:color="auto" w:sz="0" w:space="0"/>
              </w:pBdr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8.3</w:t>
            </w:r>
          </w:p>
        </w:tc>
        <w:tc>
          <w:tcPr>
            <w:tcW w:w="934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837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spacing w:line="360" w:lineRule="auto"/>
              <w:ind w:right="600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6302" w:type="dxa"/>
            <w:gridSpan w:val="2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查看现场：</w:t>
            </w:r>
          </w:p>
          <w:p>
            <w:pPr>
              <w:pStyle w:val="3"/>
              <w:numPr>
                <w:ilvl w:val="0"/>
                <w:numId w:val="1"/>
              </w:numPr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更衣室内洗手池无法使用；也未张贴洗手消毒流程；更衣室窗户打开并且无纱窗等防护；</w:t>
            </w:r>
          </w:p>
          <w:p>
            <w:pPr>
              <w:pStyle w:val="3"/>
              <w:numPr>
                <w:ilvl w:val="0"/>
                <w:numId w:val="1"/>
              </w:numPr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更衣室内存放喷壶等杂物；</w:t>
            </w:r>
          </w:p>
          <w:p>
            <w:pPr>
              <w:pStyle w:val="3"/>
              <w:numPr>
                <w:ilvl w:val="0"/>
                <w:numId w:val="1"/>
              </w:numPr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一次更衣室及二次更衣室内均未配置紫外线灯；</w:t>
            </w:r>
          </w:p>
          <w:p>
            <w:pPr>
              <w:pStyle w:val="3"/>
              <w:numPr>
                <w:numId w:val="0"/>
              </w:numPr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spacing w:line="360" w:lineRule="auto"/>
              <w:ind w:leftChars="0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</w:p>
          <w:p>
            <w:pPr>
              <w:pStyle w:val="3"/>
              <w:numPr>
                <w:ilvl w:val="0"/>
                <w:numId w:val="1"/>
              </w:numPr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厨房灶台发现有钢丝球；</w:t>
            </w:r>
          </w:p>
          <w:p>
            <w:pPr>
              <w:pStyle w:val="3"/>
              <w:numPr>
                <w:ilvl w:val="0"/>
                <w:numId w:val="1"/>
              </w:numPr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排水沟沟壁积垢明显，并有异味；</w:t>
            </w:r>
          </w:p>
          <w:p>
            <w:pPr>
              <w:pStyle w:val="3"/>
              <w:numPr>
                <w:ilvl w:val="0"/>
                <w:numId w:val="1"/>
              </w:numPr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冷冻库冰霜很厚，现场显示温度为-0.5℃，产品有着地放置情况；</w:t>
            </w:r>
          </w:p>
          <w:p>
            <w:pPr>
              <w:pStyle w:val="3"/>
              <w:numPr>
                <w:ilvl w:val="0"/>
                <w:numId w:val="1"/>
              </w:numPr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现场查看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生产加工间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 xml:space="preserve">所有灭蝇灯均未开启，同时，厨房间内灭蝇灯有较多蚊蝇，未及时处理； </w:t>
            </w:r>
          </w:p>
          <w:p>
            <w:pPr>
              <w:pStyle w:val="3"/>
              <w:numPr>
                <w:numId w:val="0"/>
              </w:numPr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spacing w:line="360" w:lineRule="auto"/>
              <w:ind w:leftChars="0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8）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分餐间内员工有未佩戴口罩情况；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分餐间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柜子内存放有用纸箱盛放的杂物；工服和工器具等物品混放；</w:t>
            </w:r>
          </w:p>
          <w:p>
            <w:pPr>
              <w:pStyle w:val="3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）餐具器消毒间出口存放有汤桶（有水迹，无法判断是否消毒），部分汤桶着地放置；</w:t>
            </w:r>
          </w:p>
          <w:p>
            <w:pPr>
              <w:pStyle w:val="3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</w:p>
          <w:p>
            <w:pPr>
              <w:pStyle w:val="3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11）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仓库整理箱内发现有很多老鼠粪便，仓库及餐器具消毒间上方天花板未封闭，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库房及车间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出入口无挡鼠板；</w:t>
            </w:r>
          </w:p>
        </w:tc>
        <w:tc>
          <w:tcPr>
            <w:tcW w:w="922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Q</w:t>
            </w:r>
          </w:p>
          <w:p>
            <w:pPr>
              <w:pStyle w:val="3"/>
              <w:pBdr>
                <w:bottom w:val="none" w:color="auto" w:sz="0" w:space="0"/>
              </w:pBdr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F</w:t>
            </w:r>
          </w:p>
          <w:p>
            <w:pPr>
              <w:pStyle w:val="3"/>
              <w:pBdr>
                <w:bottom w:val="none" w:color="auto" w:sz="0" w:space="0"/>
              </w:pBdr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H</w:t>
            </w:r>
          </w:p>
        </w:tc>
        <w:tc>
          <w:tcPr>
            <w:tcW w:w="1133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8.5.1</w:t>
            </w:r>
          </w:p>
          <w:p>
            <w:pPr>
              <w:pStyle w:val="3"/>
              <w:pBdr>
                <w:bottom w:val="none" w:color="auto" w:sz="0" w:space="0"/>
              </w:pBdr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8.2</w:t>
            </w:r>
          </w:p>
          <w:p>
            <w:pPr>
              <w:pStyle w:val="3"/>
              <w:pBdr>
                <w:bottom w:val="none" w:color="auto" w:sz="0" w:space="0"/>
              </w:pBdr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3.3</w:t>
            </w:r>
          </w:p>
        </w:tc>
        <w:tc>
          <w:tcPr>
            <w:tcW w:w="934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37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spacing w:line="360" w:lineRule="auto"/>
              <w:ind w:right="600" w:rightChars="0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302" w:type="dxa"/>
            <w:gridSpan w:val="2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1）仓库中化学品未未见标识，与其他物品混放；</w:t>
            </w:r>
          </w:p>
          <w:p>
            <w:pPr>
              <w:pStyle w:val="3"/>
              <w:numPr>
                <w:ilvl w:val="0"/>
                <w:numId w:val="0"/>
              </w:numPr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2）后厨加工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现场放有整桶的洗洁精，并且没有标识；</w:t>
            </w:r>
          </w:p>
        </w:tc>
        <w:tc>
          <w:tcPr>
            <w:tcW w:w="922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F</w:t>
            </w:r>
          </w:p>
          <w:p>
            <w:pPr>
              <w:pStyle w:val="3"/>
              <w:pBdr>
                <w:bottom w:val="none" w:color="auto" w:sz="0" w:space="0"/>
              </w:pBdr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H</w:t>
            </w:r>
          </w:p>
        </w:tc>
        <w:tc>
          <w:tcPr>
            <w:tcW w:w="1133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8.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2</w:t>
            </w:r>
          </w:p>
          <w:p>
            <w:pPr>
              <w:pStyle w:val="3"/>
              <w:pBdr>
                <w:bottom w:val="none" w:color="auto" w:sz="0" w:space="0"/>
              </w:pBdr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3.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34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83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302" w:type="dxa"/>
            <w:gridSpan w:val="2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配送餐食保温箱无标签标示</w:t>
            </w:r>
          </w:p>
        </w:tc>
        <w:tc>
          <w:tcPr>
            <w:tcW w:w="922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Q</w:t>
            </w:r>
          </w:p>
          <w:p>
            <w:pPr>
              <w:pStyle w:val="3"/>
              <w:pBdr>
                <w:bottom w:val="none" w:color="auto" w:sz="0" w:space="0"/>
              </w:pBdr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F</w:t>
            </w:r>
          </w:p>
          <w:p>
            <w:pPr>
              <w:pStyle w:val="3"/>
              <w:pBdr>
                <w:bottom w:val="none" w:color="auto" w:sz="0" w:space="0"/>
              </w:pBdr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H</w:t>
            </w:r>
          </w:p>
        </w:tc>
        <w:tc>
          <w:tcPr>
            <w:tcW w:w="1133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8.5.3</w:t>
            </w:r>
          </w:p>
          <w:p>
            <w:pPr>
              <w:pStyle w:val="3"/>
              <w:pBdr>
                <w:bottom w:val="none" w:color="auto" w:sz="0" w:space="0"/>
              </w:pBdr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8.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3</w:t>
            </w:r>
          </w:p>
          <w:p>
            <w:pPr>
              <w:pStyle w:val="3"/>
              <w:pBdr>
                <w:bottom w:val="none" w:color="auto" w:sz="0" w:space="0"/>
              </w:pBdr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3.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934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837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spacing w:line="360" w:lineRule="auto"/>
              <w:ind w:right="600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302" w:type="dxa"/>
            <w:gridSpan w:val="2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查计量器具管理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eastAsia="zh-CN"/>
              </w:rPr>
              <w:t>：</w:t>
            </w:r>
          </w:p>
          <w:p>
            <w:pPr>
              <w:pStyle w:val="3"/>
              <w:numPr>
                <w:ilvl w:val="0"/>
                <w:numId w:val="2"/>
              </w:numPr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未提供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电子秤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温度计的校检证据；</w:t>
            </w:r>
          </w:p>
          <w:p>
            <w:pPr>
              <w:pStyle w:val="3"/>
              <w:numPr>
                <w:numId w:val="0"/>
              </w:numPr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spacing w:line="360" w:lineRule="auto"/>
              <w:ind w:leftChars="0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留样柜只有温度跟踪仪器，没有温度显示装置；</w:t>
            </w:r>
          </w:p>
        </w:tc>
        <w:tc>
          <w:tcPr>
            <w:tcW w:w="922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Q</w:t>
            </w:r>
          </w:p>
          <w:p>
            <w:pPr>
              <w:pStyle w:val="3"/>
              <w:pBdr>
                <w:bottom w:val="none" w:color="auto" w:sz="0" w:space="0"/>
              </w:pBdr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F</w:t>
            </w:r>
          </w:p>
          <w:p>
            <w:pPr>
              <w:pStyle w:val="3"/>
              <w:pBdr>
                <w:bottom w:val="none" w:color="auto" w:sz="0" w:space="0"/>
              </w:pBdr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H</w:t>
            </w:r>
          </w:p>
        </w:tc>
        <w:tc>
          <w:tcPr>
            <w:tcW w:w="1133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7.1.5</w:t>
            </w:r>
          </w:p>
          <w:p>
            <w:pPr>
              <w:pStyle w:val="3"/>
              <w:pBdr>
                <w:bottom w:val="none" w:color="auto" w:sz="0" w:space="0"/>
              </w:pBdr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8.7</w:t>
            </w:r>
          </w:p>
          <w:p>
            <w:pPr>
              <w:pStyle w:val="3"/>
              <w:pBdr>
                <w:bottom w:val="none" w:color="auto" w:sz="0" w:space="0"/>
              </w:pBdr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3.6</w:t>
            </w:r>
          </w:p>
        </w:tc>
        <w:tc>
          <w:tcPr>
            <w:tcW w:w="934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37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spacing w:line="360" w:lineRule="auto"/>
              <w:ind w:right="600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302" w:type="dxa"/>
            <w:gridSpan w:val="2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厨房间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消防栓内卫生不干净，有明显蛛网、锈斑等；</w:t>
            </w:r>
          </w:p>
          <w:p>
            <w:pPr>
              <w:pStyle w:val="3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2）现场查看垃圾未按照垃圾分类要求进行分类管理；</w:t>
            </w:r>
          </w:p>
          <w:p>
            <w:pPr>
              <w:pStyle w:val="3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3）未提供油烟排放达标等外部监测证据；</w:t>
            </w:r>
          </w:p>
          <w:p>
            <w:pPr>
              <w:pStyle w:val="3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4）未提供燃气报警器检测报告；</w:t>
            </w:r>
          </w:p>
          <w:p>
            <w:pPr>
              <w:pStyle w:val="3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5）未提供天然气的MSDS。</w:t>
            </w:r>
          </w:p>
        </w:tc>
        <w:tc>
          <w:tcPr>
            <w:tcW w:w="922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E/0</w:t>
            </w:r>
          </w:p>
        </w:tc>
        <w:tc>
          <w:tcPr>
            <w:tcW w:w="1133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8.1</w:t>
            </w:r>
          </w:p>
        </w:tc>
        <w:tc>
          <w:tcPr>
            <w:tcW w:w="934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37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spacing w:line="360" w:lineRule="auto"/>
              <w:ind w:right="600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302" w:type="dxa"/>
            <w:gridSpan w:val="2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未提供三级安全教育的证据</w:t>
            </w:r>
          </w:p>
        </w:tc>
        <w:tc>
          <w:tcPr>
            <w:tcW w:w="922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E/0</w:t>
            </w:r>
          </w:p>
        </w:tc>
        <w:tc>
          <w:tcPr>
            <w:tcW w:w="1133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8.1</w:t>
            </w:r>
          </w:p>
        </w:tc>
        <w:tc>
          <w:tcPr>
            <w:tcW w:w="934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7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spacing w:line="360" w:lineRule="auto"/>
              <w:ind w:right="600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302" w:type="dxa"/>
            <w:gridSpan w:val="2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未提供向生态环境部门备案的环境影响登记表</w:t>
            </w:r>
          </w:p>
        </w:tc>
        <w:tc>
          <w:tcPr>
            <w:tcW w:w="922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E</w:t>
            </w:r>
          </w:p>
        </w:tc>
        <w:tc>
          <w:tcPr>
            <w:tcW w:w="1133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8.1</w:t>
            </w:r>
          </w:p>
        </w:tc>
        <w:tc>
          <w:tcPr>
            <w:tcW w:w="934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837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spacing w:line="360" w:lineRule="auto"/>
              <w:ind w:right="600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302" w:type="dxa"/>
            <w:gridSpan w:val="2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HACCP计划：</w:t>
            </w:r>
          </w:p>
          <w:p>
            <w:pPr>
              <w:pStyle w:val="3"/>
              <w:numPr>
                <w:ilvl w:val="0"/>
                <w:numId w:val="3"/>
              </w:numPr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现场未见金属检测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与HACCP计划中的工艺流程不一致；</w:t>
            </w:r>
          </w:p>
        </w:tc>
        <w:tc>
          <w:tcPr>
            <w:tcW w:w="922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F</w:t>
            </w:r>
          </w:p>
          <w:p>
            <w:pPr>
              <w:pStyle w:val="3"/>
              <w:pBdr>
                <w:bottom w:val="none" w:color="auto" w:sz="0" w:space="0"/>
              </w:pBdr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H</w:t>
            </w:r>
          </w:p>
        </w:tc>
        <w:tc>
          <w:tcPr>
            <w:tcW w:w="1133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8.5.1</w:t>
            </w:r>
          </w:p>
          <w:p>
            <w:pPr>
              <w:pStyle w:val="3"/>
              <w:pBdr>
                <w:bottom w:val="none" w:color="auto" w:sz="0" w:space="0"/>
              </w:pBdr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4.2</w:t>
            </w:r>
          </w:p>
        </w:tc>
        <w:tc>
          <w:tcPr>
            <w:tcW w:w="934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3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0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302" w:type="dxa"/>
            <w:gridSpan w:val="2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提供了致敏物清单，与企业实际经营不完全一致，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u w:val="none"/>
              </w:rPr>
              <w:t>未对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u w:val="none"/>
                <w:lang w:val="en-US" w:eastAsia="zh-CN"/>
              </w:rPr>
              <w:t>面粉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u w:val="none"/>
              </w:rPr>
              <w:t>、花生等致敏物质进行标识；</w:t>
            </w:r>
          </w:p>
        </w:tc>
        <w:tc>
          <w:tcPr>
            <w:tcW w:w="922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F</w:t>
            </w:r>
          </w:p>
          <w:p>
            <w:pPr>
              <w:pStyle w:val="3"/>
              <w:pBdr>
                <w:bottom w:val="none" w:color="auto" w:sz="0" w:space="0"/>
              </w:pBdr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H</w:t>
            </w:r>
          </w:p>
        </w:tc>
        <w:tc>
          <w:tcPr>
            <w:tcW w:w="1133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8.2</w:t>
            </w:r>
          </w:p>
          <w:p>
            <w:pPr>
              <w:pStyle w:val="3"/>
              <w:pBdr>
                <w:bottom w:val="none" w:color="auto" w:sz="0" w:space="0"/>
              </w:pBdr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3.11</w:t>
            </w:r>
          </w:p>
        </w:tc>
        <w:tc>
          <w:tcPr>
            <w:tcW w:w="934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3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0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6302" w:type="dxa"/>
            <w:gridSpan w:val="2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未提供餐食餐具、生产加工用水的安全性验证报告</w:t>
            </w:r>
          </w:p>
        </w:tc>
        <w:tc>
          <w:tcPr>
            <w:tcW w:w="922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F</w:t>
            </w:r>
          </w:p>
          <w:p>
            <w:pPr>
              <w:pStyle w:val="3"/>
              <w:pBdr>
                <w:bottom w:val="none" w:color="auto" w:sz="0" w:space="0"/>
              </w:pBdr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H</w:t>
            </w:r>
          </w:p>
        </w:tc>
        <w:tc>
          <w:tcPr>
            <w:tcW w:w="1133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8.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8</w:t>
            </w:r>
          </w:p>
          <w:p>
            <w:pPr>
              <w:pStyle w:val="3"/>
              <w:pBdr>
                <w:bottom w:val="none" w:color="auto" w:sz="0" w:space="0"/>
              </w:pBdr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4.5</w:t>
            </w:r>
          </w:p>
        </w:tc>
        <w:tc>
          <w:tcPr>
            <w:tcW w:w="934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837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spacing w:line="360" w:lineRule="auto"/>
              <w:ind w:right="600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6302" w:type="dxa"/>
            <w:gridSpan w:val="2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4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3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0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302" w:type="dxa"/>
            <w:gridSpan w:val="2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4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3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0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302" w:type="dxa"/>
            <w:gridSpan w:val="2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4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3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0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302" w:type="dxa"/>
            <w:gridSpan w:val="2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4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0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302" w:type="dxa"/>
            <w:gridSpan w:val="2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34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spacing w:line="360" w:lineRule="auto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8" w:type="dxa"/>
            <w:gridSpan w:val="6"/>
          </w:tcPr>
          <w:p>
            <w:pPr>
              <w:tabs>
                <w:tab w:val="left" w:pos="1418"/>
              </w:tabs>
              <w:spacing w:line="360" w:lineRule="auto"/>
              <w:ind w:left="1418" w:hanging="1418"/>
              <w:jc w:val="left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注：问题等级：1 =改进建议；2 =轻微问题，有可能导致成为第二阶段的不符合项；</w:t>
            </w:r>
          </w:p>
          <w:p>
            <w:pPr>
              <w:tabs>
                <w:tab w:val="left" w:pos="1418"/>
              </w:tabs>
              <w:spacing w:line="360" w:lineRule="auto"/>
              <w:ind w:firstLine="1680" w:firstLineChars="800"/>
              <w:jc w:val="left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-8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3 = 严重问题，必须进行纠正并提供证据，验证合格后方可实施第二阶段现场审核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4736" w:type="dxa"/>
            <w:gridSpan w:val="2"/>
          </w:tcPr>
          <w:p>
            <w:pPr>
              <w:spacing w:line="360" w:lineRule="auto"/>
              <w:rPr>
                <w:rFonts w:hint="default" w:ascii="Times New Roman" w:hAnsi="Times New Roman" w:eastAsia="黑体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Cs w:val="21"/>
              </w:rPr>
              <w:t>审核组长：</w:t>
            </w:r>
          </w:p>
          <w:p>
            <w:pPr>
              <w:spacing w:line="360" w:lineRule="auto"/>
              <w:rPr>
                <w:rFonts w:hint="default" w:ascii="Times New Roman" w:hAnsi="Times New Roman" w:eastAsia="黑体" w:cs="Times New Roman"/>
                <w:b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黑体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Cs w:val="21"/>
              </w:rPr>
              <w:t>日期：</w:t>
            </w:r>
            <w:r>
              <w:rPr>
                <w:rFonts w:hint="eastAsia" w:ascii="Times New Roman" w:hAnsi="Times New Roman" w:eastAsia="黑体" w:cs="Times New Roman"/>
                <w:b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b/>
                <w:color w:val="auto"/>
                <w:szCs w:val="21"/>
              </w:rPr>
              <w:t>年</w:t>
            </w:r>
            <w:r>
              <w:rPr>
                <w:rFonts w:hint="eastAsia" w:ascii="Times New Roman" w:hAnsi="Times New Roman" w:eastAsia="黑体" w:cs="Times New Roman"/>
                <w:b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b/>
                <w:color w:val="auto"/>
                <w:szCs w:val="21"/>
              </w:rPr>
              <w:t>月</w:t>
            </w:r>
            <w:r>
              <w:rPr>
                <w:rFonts w:hint="eastAsia" w:ascii="Times New Roman" w:hAnsi="Times New Roman" w:eastAsia="黑体" w:cs="Times New Roman"/>
                <w:b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b/>
                <w:color w:val="auto"/>
                <w:szCs w:val="21"/>
              </w:rPr>
              <w:t>日</w:t>
            </w:r>
          </w:p>
        </w:tc>
        <w:tc>
          <w:tcPr>
            <w:tcW w:w="5392" w:type="dxa"/>
            <w:gridSpan w:val="4"/>
          </w:tcPr>
          <w:p>
            <w:pPr>
              <w:spacing w:line="360" w:lineRule="auto"/>
              <w:rPr>
                <w:rFonts w:hint="default" w:ascii="Times New Roman" w:hAnsi="Times New Roman" w:eastAsia="黑体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Cs w:val="21"/>
              </w:rPr>
              <w:t>受审核方代表</w:t>
            </w:r>
          </w:p>
          <w:p>
            <w:pPr>
              <w:spacing w:line="360" w:lineRule="auto"/>
              <w:rPr>
                <w:rFonts w:hint="default" w:ascii="Times New Roman" w:hAnsi="Times New Roman" w:eastAsia="黑体" w:cs="Times New Roman"/>
                <w:b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黑体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Cs w:val="21"/>
              </w:rPr>
              <w:t>日期：</w:t>
            </w:r>
            <w:r>
              <w:rPr>
                <w:rFonts w:hint="eastAsia" w:ascii="Times New Roman" w:hAnsi="Times New Roman" w:eastAsia="黑体" w:cs="Times New Roman"/>
                <w:b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b/>
                <w:color w:val="auto"/>
                <w:szCs w:val="21"/>
              </w:rPr>
              <w:t>年</w:t>
            </w:r>
            <w:r>
              <w:rPr>
                <w:rFonts w:hint="eastAsia" w:ascii="Times New Roman" w:hAnsi="Times New Roman" w:eastAsia="黑体" w:cs="Times New Roman"/>
                <w:b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b/>
                <w:color w:val="auto"/>
                <w:szCs w:val="21"/>
              </w:rPr>
              <w:t>月</w:t>
            </w:r>
            <w:r>
              <w:rPr>
                <w:rFonts w:hint="eastAsia" w:ascii="Times New Roman" w:hAnsi="Times New Roman" w:eastAsia="黑体" w:cs="Times New Roman"/>
                <w:b/>
                <w:color w:val="auto"/>
                <w:szCs w:val="21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b/>
                <w:color w:val="auto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128" w:type="dxa"/>
            <w:gridSpan w:val="6"/>
          </w:tcPr>
          <w:p>
            <w:pPr>
              <w:spacing w:line="360" w:lineRule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-8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-8"/>
                <w:szCs w:val="21"/>
              </w:rPr>
              <w:t>对</w:t>
            </w:r>
            <w:r>
              <w:rPr>
                <w:rFonts w:hint="default" w:ascii="Times New Roman" w:hAnsi="Times New Roman" w:eastAsia="黑体" w:cs="Times New Roman"/>
                <w:b/>
                <w:color w:val="auto"/>
                <w:spacing w:val="-12"/>
                <w:szCs w:val="21"/>
              </w:rPr>
              <w:t>一阶段现场审核严重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-8"/>
                <w:szCs w:val="21"/>
              </w:rPr>
              <w:t>问题整改结果的验证结论：</w:t>
            </w:r>
          </w:p>
          <w:p>
            <w:pPr>
              <w:spacing w:line="360" w:lineRule="auto"/>
              <w:rPr>
                <w:rFonts w:hint="default" w:ascii="Times New Roman" w:hAnsi="Times New Roman" w:eastAsia="黑体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pacing w:val="-10"/>
                <w:szCs w:val="21"/>
              </w:rPr>
              <w:t>□</w:t>
            </w:r>
            <w:r>
              <w:rPr>
                <w:rFonts w:hint="default" w:ascii="Times New Roman" w:hAnsi="Times New Roman" w:eastAsia="黑体" w:cs="Times New Roman"/>
                <w:b/>
                <w:color w:val="auto"/>
                <w:szCs w:val="21"/>
              </w:rPr>
              <w:t>所有严重问题全部整改，并符合要求</w:t>
            </w:r>
            <w:r>
              <w:rPr>
                <w:rFonts w:hint="default" w:ascii="Times New Roman" w:hAnsi="Times New Roman" w:eastAsia="黑体" w:cs="Times New Roman"/>
                <w:b/>
                <w:color w:val="auto"/>
                <w:spacing w:val="-10"/>
                <w:szCs w:val="21"/>
              </w:rPr>
              <w:t>□未</w:t>
            </w:r>
            <w:r>
              <w:rPr>
                <w:rFonts w:hint="default" w:ascii="Times New Roman" w:hAnsi="Times New Roman" w:eastAsia="黑体" w:cs="Times New Roman"/>
                <w:b/>
                <w:color w:val="auto"/>
                <w:szCs w:val="21"/>
              </w:rPr>
              <w:t>按期完成整改</w:t>
            </w:r>
            <w:r>
              <w:rPr>
                <w:rFonts w:hint="default" w:ascii="Times New Roman" w:hAnsi="Times New Roman" w:eastAsia="黑体" w:cs="Times New Roman"/>
                <w:b/>
                <w:color w:val="auto"/>
                <w:spacing w:val="-10"/>
                <w:szCs w:val="21"/>
              </w:rPr>
              <w:t>□整改后不符合要求，需重新整改</w:t>
            </w:r>
            <w:r>
              <w:rPr>
                <w:rFonts w:hint="default" w:ascii="Times New Roman" w:hAnsi="Times New Roman" w:eastAsia="黑体" w:cs="Times New Roman"/>
                <w:b/>
                <w:color w:val="auto"/>
                <w:szCs w:val="21"/>
              </w:rPr>
              <w:t>.</w:t>
            </w:r>
          </w:p>
          <w:p>
            <w:pPr>
              <w:spacing w:line="360" w:lineRule="auto"/>
              <w:rPr>
                <w:rFonts w:hint="default" w:ascii="Times New Roman" w:hAnsi="Times New Roman" w:eastAsia="黑体" w:cs="Times New Roman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128" w:type="dxa"/>
            <w:gridSpan w:val="6"/>
          </w:tcPr>
          <w:p>
            <w:pPr>
              <w:tabs>
                <w:tab w:val="left" w:pos="8740"/>
              </w:tabs>
              <w:spacing w:line="360" w:lineRule="auto"/>
              <w:rPr>
                <w:rFonts w:hint="default" w:ascii="Times New Roman" w:hAnsi="Times New Roman" w:eastAsia="黑体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pacing w:val="-10"/>
                <w:szCs w:val="21"/>
              </w:rPr>
              <w:t>推荐意见：□可进行二阶段审核□需再次安排一阶段审核□不进入二阶段审核</w:t>
            </w:r>
            <w:r>
              <w:rPr>
                <w:rFonts w:hint="default" w:ascii="Times New Roman" w:hAnsi="Times New Roman" w:eastAsia="黑体" w:cs="Times New Roman"/>
                <w:b/>
                <w:color w:val="auto"/>
                <w:spacing w:val="-10"/>
                <w:szCs w:val="21"/>
              </w:rPr>
              <w:tab/>
            </w:r>
          </w:p>
          <w:p>
            <w:pPr>
              <w:spacing w:line="360" w:lineRule="auto"/>
              <w:rPr>
                <w:rFonts w:hint="default" w:ascii="Times New Roman" w:hAnsi="Times New Roman" w:eastAsia="黑体" w:cs="Times New Roman"/>
                <w:b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黑体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Cs w:val="21"/>
              </w:rPr>
              <w:t>验证人：</w:t>
            </w:r>
            <w:r>
              <w:rPr>
                <w:rFonts w:hint="eastAsia" w:ascii="Times New Roman" w:hAnsi="Times New Roman" w:eastAsia="黑体" w:cs="Times New Roman"/>
                <w:b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b/>
                <w:color w:val="auto"/>
                <w:szCs w:val="21"/>
              </w:rPr>
              <w:t>日期：</w:t>
            </w:r>
            <w:r>
              <w:rPr>
                <w:rFonts w:hint="eastAsia" w:ascii="Times New Roman" w:hAnsi="Times New Roman" w:eastAsia="黑体" w:cs="Times New Roman"/>
                <w:b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b/>
                <w:color w:val="auto"/>
                <w:szCs w:val="21"/>
              </w:rPr>
              <w:t>年</w:t>
            </w:r>
            <w:r>
              <w:rPr>
                <w:rFonts w:hint="eastAsia" w:ascii="Times New Roman" w:hAnsi="Times New Roman" w:eastAsia="黑体" w:cs="Times New Roman"/>
                <w:b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b/>
                <w:color w:val="auto"/>
                <w:szCs w:val="21"/>
              </w:rPr>
              <w:t>月</w:t>
            </w:r>
            <w:r>
              <w:rPr>
                <w:rFonts w:hint="eastAsia" w:ascii="Times New Roman" w:hAnsi="Times New Roman" w:eastAsia="黑体" w:cs="Times New Roman"/>
                <w:b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/>
                <w:color w:val="auto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8" w:type="dxa"/>
            <w:gridSpan w:val="6"/>
          </w:tcPr>
          <w:p>
            <w:pPr>
              <w:spacing w:line="360" w:lineRule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-8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-8"/>
                <w:szCs w:val="21"/>
              </w:rPr>
              <w:t>备注：</w:t>
            </w:r>
          </w:p>
          <w:p>
            <w:pPr>
              <w:spacing w:line="360" w:lineRule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-8"/>
                <w:szCs w:val="21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276" w:left="1080" w:header="56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-54610</wp:posOffset>
          </wp:positionH>
          <wp:positionV relativeFrom="paragraph">
            <wp:posOffset>-63500</wp:posOffset>
          </wp:positionV>
          <wp:extent cx="482600" cy="485775"/>
          <wp:effectExtent l="0" t="0" r="0" b="9525"/>
          <wp:wrapNone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5110480</wp:posOffset>
              </wp:positionH>
              <wp:positionV relativeFrom="paragraph">
                <wp:posOffset>144145</wp:posOffset>
              </wp:positionV>
              <wp:extent cx="1032510" cy="256540"/>
              <wp:effectExtent l="0" t="1270" r="635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25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14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  <w:p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2.4pt;margin-top:11.35pt;height:20.2pt;width:81.3pt;z-index:251659264;mso-width-relative:page;mso-height-relative:page;" fillcolor="#FFFFFF" filled="t" stroked="f" coordsize="21600,21600" o:gfxdata="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OiFnHdcAAAAJAQAADwAAAAAAAAABACAAAAAiAAAAZHJzL2Rvd25yZXYueG1sUEsBAhQAFAAA&#10;AAgAh07iQH5Iw8EpAgAAPgQAAA4AAAAAAAAAAQAgAAAAJgEAAGRycy9lMm9Eb2MueG1sUEsFBgAA&#10;AAAGAAYAWQEAAME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14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  <w:p/>
                </w:txbxContent>
              </v:textbox>
            </v:shape>
          </w:pict>
        </mc:Fallback>
      </mc:AlternateContent>
    </w:r>
    <w:r>
      <w:rPr>
        <w:rStyle w:val="7"/>
        <w:rFonts w:hint="default"/>
      </w:rPr>
      <w:t>北京国标联合认证有限公司</w:t>
    </w:r>
    <w:r>
      <w:rPr>
        <w:rStyle w:val="7"/>
        <w:rFonts w:hint="default"/>
      </w:rPr>
      <w:tab/>
    </w:r>
    <w:r>
      <w:rPr>
        <w:rStyle w:val="7"/>
        <w:rFonts w:hint="default"/>
      </w:rPr>
      <w:tab/>
    </w:r>
    <w:r>
      <w:rPr>
        <w:rStyle w:val="7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7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56E225"/>
    <w:multiLevelType w:val="singleLevel"/>
    <w:tmpl w:val="F656E225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30BE295D"/>
    <w:multiLevelType w:val="multilevel"/>
    <w:tmpl w:val="30BE295D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C719E9"/>
    <w:multiLevelType w:val="multilevel"/>
    <w:tmpl w:val="42C719E9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N2UwYzRjODcyYjBmZWI4OGFkMDIyNTk1M2M5ZTMifQ=="/>
  </w:docVars>
  <w:rsids>
    <w:rsidRoot w:val="00120CD1"/>
    <w:rsid w:val="001156A3"/>
    <w:rsid w:val="00120CD1"/>
    <w:rsid w:val="00123287"/>
    <w:rsid w:val="001F7EED"/>
    <w:rsid w:val="00272750"/>
    <w:rsid w:val="002C5614"/>
    <w:rsid w:val="00482EE9"/>
    <w:rsid w:val="00492494"/>
    <w:rsid w:val="005F7B92"/>
    <w:rsid w:val="006A6118"/>
    <w:rsid w:val="008E0024"/>
    <w:rsid w:val="00A0276D"/>
    <w:rsid w:val="00B04562"/>
    <w:rsid w:val="00B7096C"/>
    <w:rsid w:val="00B715DE"/>
    <w:rsid w:val="00B965F5"/>
    <w:rsid w:val="00C37DBB"/>
    <w:rsid w:val="00C654A9"/>
    <w:rsid w:val="00D665A1"/>
    <w:rsid w:val="00D819E2"/>
    <w:rsid w:val="00E224B2"/>
    <w:rsid w:val="00E4288D"/>
    <w:rsid w:val="00E56B78"/>
    <w:rsid w:val="00F64877"/>
    <w:rsid w:val="00F76356"/>
    <w:rsid w:val="020A0719"/>
    <w:rsid w:val="089E7261"/>
    <w:rsid w:val="0D696CDD"/>
    <w:rsid w:val="160F6C02"/>
    <w:rsid w:val="36EF1805"/>
    <w:rsid w:val="50364BB4"/>
    <w:rsid w:val="516C0DF2"/>
    <w:rsid w:val="5BCD10C2"/>
    <w:rsid w:val="6E85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8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168</Words>
  <Characters>963</Characters>
  <Lines>8</Lines>
  <Paragraphs>2</Paragraphs>
  <TotalTime>3</TotalTime>
  <ScaleCrop>false</ScaleCrop>
  <LinksUpToDate>false</LinksUpToDate>
  <CharactersWithSpaces>1129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2022-08-23T08:42:00Z</dcterms:created>
  <dc:creator>renzehua</dc:creator>
  <cp:lastModifiedBy>肖新龙</cp:lastModifiedBy>
  <dcterms:modified xsi:type="dcterms:W3CDTF">2022-08-24T13:05:05Z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CA3955F5B6254ACC90F602CD9636DF0B</vt:lpwstr>
  </property>
</Properties>
</file>