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0545-2019QJEO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石家庄市鸣洋装饰工程有限公司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EC:28.08.01,28.08.02,28.08.03,28.08.04,28.08.05</w:t>
            </w:r>
          </w:p>
          <w:p>
            <w:pPr>
              <w:spacing w:line="240" w:lineRule="exact"/>
              <w:jc w:val="center"/>
              <w:rPr>
                <w:b/>
                <w:color w:val="000000"/>
                <w:sz w:val="20"/>
                <w:szCs w:val="20"/>
              </w:rPr>
            </w:pPr>
            <w:r>
              <w:rPr>
                <w:b/>
                <w:color w:val="000000"/>
                <w:sz w:val="20"/>
                <w:szCs w:val="20"/>
              </w:rPr>
              <w:t>E:28.08.01,28.08.02,28.08.03,28.08.04,28.08.05</w:t>
            </w:r>
          </w:p>
          <w:p>
            <w:pPr>
              <w:spacing w:line="240" w:lineRule="exact"/>
              <w:jc w:val="center"/>
              <w:rPr>
                <w:b/>
                <w:color w:val="000000"/>
                <w:sz w:val="20"/>
                <w:szCs w:val="20"/>
              </w:rPr>
            </w:pPr>
            <w:r>
              <w:rPr>
                <w:b/>
                <w:color w:val="000000"/>
                <w:sz w:val="20"/>
                <w:szCs w:val="20"/>
              </w:rPr>
              <w:t>O:28.08.01,28.08.02,28.08.03,28.08.04,28.08.05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z w:val="20"/>
          <w:szCs w:val="20"/>
          <w:lang w:val="en-US" w:eastAsia="zh-CN"/>
        </w:rPr>
        <w:t xml:space="preserve"> </w:t>
      </w:r>
      <w:r>
        <w:rPr>
          <w:rFonts w:ascii="宋体" w:hAnsi="宋体"/>
          <w:b/>
          <w:color w:val="000000"/>
          <w:sz w:val="20"/>
          <w:szCs w:val="20"/>
          <w:lang w:val="de-DE"/>
        </w:rPr>
        <w:t>GB/T</w:t>
      </w:r>
      <w:r>
        <w:rPr>
          <w:rFonts w:hint="eastAsia" w:ascii="宋体" w:hAnsi="宋体"/>
          <w:b/>
          <w:color w:val="000000"/>
          <w:sz w:val="20"/>
          <w:szCs w:val="20"/>
          <w:lang w:val="en-US" w:eastAsia="zh-CN"/>
        </w:rPr>
        <w:t xml:space="preserve"> 50430-2017</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 xml:space="preserve">ISO45001：2018 </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石家庄市鸣洋装饰工程有限公司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石家庄长安区建设北大街48号风尚宜都三区一单元402室</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bookmarkStart w:id="11" w:name="生产地址Add1"/>
            <w:r>
              <w:rPr>
                <w:rFonts w:ascii="宋体"/>
                <w:b/>
                <w:color w:val="000000"/>
                <w:sz w:val="20"/>
                <w:szCs w:val="20"/>
              </w:rPr>
              <w:t>石家庄长安区建设北大街48号风尚宜都三区一单元402室</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段文涛</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0311-66178618</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张彦周</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7" w:name="管理者代表"/>
            <w:r>
              <w:rPr>
                <w:rFonts w:ascii="宋体"/>
                <w:b/>
                <w:color w:val="000000"/>
                <w:sz w:val="20"/>
                <w:szCs w:val="20"/>
              </w:rPr>
              <w:t>段文涛</w:t>
            </w:r>
            <w:bookmarkEnd w:id="17"/>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jc w:val="center"/>
              <w:rPr>
                <w:rFonts w:ascii="宋体"/>
                <w:b/>
                <w:color w:val="000000"/>
                <w:sz w:val="20"/>
                <w:szCs w:val="20"/>
              </w:rPr>
            </w:pPr>
            <w:r>
              <w:rPr>
                <w:rFonts w:hint="eastAsia"/>
                <w:b/>
                <w:bCs/>
                <w:szCs w:val="21"/>
              </w:rPr>
              <w:t>2019年</w:t>
            </w:r>
            <w:r>
              <w:rPr>
                <w:rFonts w:hint="eastAsia"/>
                <w:b/>
                <w:bCs/>
                <w:szCs w:val="21"/>
                <w:lang w:val="en-US" w:eastAsia="zh-CN"/>
              </w:rPr>
              <w:t>5</w:t>
            </w:r>
            <w:r>
              <w:rPr>
                <w:rFonts w:hint="eastAsia"/>
                <w:b/>
                <w:bCs/>
                <w:szCs w:val="21"/>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EC：资质范围内建筑装修装饰工程施工专业承包</w:t>
            </w:r>
          </w:p>
          <w:p>
            <w:pPr>
              <w:spacing w:line="400" w:lineRule="exact"/>
              <w:rPr>
                <w:rFonts w:ascii="宋体" w:hAnsi="宋体"/>
                <w:b/>
                <w:color w:val="000000"/>
                <w:sz w:val="20"/>
                <w:szCs w:val="20"/>
              </w:rPr>
            </w:pPr>
            <w:r>
              <w:rPr>
                <w:rFonts w:ascii="宋体" w:hAnsi="宋体"/>
                <w:b/>
                <w:color w:val="000000"/>
                <w:sz w:val="20"/>
                <w:szCs w:val="20"/>
              </w:rPr>
              <w:t>E：资质范围内建筑装修装饰工程施工专业承包所涉及的环境管理活动</w:t>
            </w:r>
          </w:p>
          <w:p>
            <w:pPr>
              <w:spacing w:line="400" w:lineRule="exact"/>
              <w:rPr>
                <w:rFonts w:ascii="宋体" w:hAnsi="宋体"/>
                <w:b/>
                <w:color w:val="000000"/>
                <w:sz w:val="20"/>
                <w:szCs w:val="20"/>
              </w:rPr>
            </w:pPr>
            <w:r>
              <w:rPr>
                <w:rFonts w:ascii="宋体" w:hAnsi="宋体"/>
                <w:b/>
                <w:color w:val="000000"/>
                <w:sz w:val="20"/>
                <w:szCs w:val="20"/>
              </w:rPr>
              <w:t>O：资质范围内建筑装修装饰工程施工专业承包所涉及的职业健康安全管理活动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EC：28.08.01;28.08.02;28.08.03;28.08.04;28.08.05</w:t>
            </w:r>
          </w:p>
          <w:p>
            <w:pPr>
              <w:spacing w:line="280" w:lineRule="exact"/>
              <w:rPr>
                <w:rFonts w:ascii="宋体"/>
                <w:b/>
                <w:color w:val="000000"/>
                <w:sz w:val="20"/>
                <w:szCs w:val="20"/>
              </w:rPr>
            </w:pPr>
            <w:r>
              <w:rPr>
                <w:rFonts w:ascii="宋体"/>
                <w:b/>
                <w:color w:val="000000"/>
                <w:sz w:val="20"/>
                <w:szCs w:val="20"/>
              </w:rPr>
              <w:t>E：28.08.01;28.08.02;28.08.03;28.08.04;28.08.05</w:t>
            </w:r>
          </w:p>
          <w:p>
            <w:pPr>
              <w:spacing w:line="280" w:lineRule="exact"/>
              <w:rPr>
                <w:rFonts w:ascii="宋体"/>
                <w:b/>
                <w:color w:val="000000"/>
                <w:sz w:val="20"/>
                <w:szCs w:val="20"/>
              </w:rPr>
            </w:pPr>
            <w:r>
              <w:rPr>
                <w:rFonts w:ascii="宋体"/>
                <w:b/>
                <w:color w:val="000000"/>
                <w:sz w:val="20"/>
                <w:szCs w:val="20"/>
              </w:rPr>
              <w:t>O：28.08.01;28.08.02;28.08.03;28.08.04;28.08.05</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z w:val="20"/>
          <w:szCs w:val="20"/>
        </w:rPr>
      </w:pPr>
      <w:r>
        <w:rPr>
          <w:rFonts w:ascii="宋体" w:hAnsi="宋体"/>
          <w:b/>
          <w:color w:val="000000"/>
          <w:spacing w:val="-2"/>
          <w:sz w:val="20"/>
          <w:szCs w:val="20"/>
        </w:rPr>
        <w:t xml:space="preserve">2. </w:t>
      </w: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u w:val="single"/>
        </w:rPr>
        <w:t xml:space="preserve"> 质量手册、程序文件、内审、管理评审、管理制度、体系运行文件等</w:t>
      </w:r>
      <w:r>
        <w:rPr>
          <w:rFonts w:hint="eastAsia"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部门：管理层、办公室、财务部、工程部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场所：办公室、项目部工地</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numPr>
          <w:ilvl w:val="0"/>
          <w:numId w:val="1"/>
        </w:numPr>
        <w:pBdr>
          <w:bottom w:val="none" w:color="auto" w:sz="0" w:space="0"/>
        </w:pBdr>
        <w:ind w:right="600" w:firstLine="257" w:firstLineChars="100"/>
        <w:jc w:val="both"/>
        <w:rPr>
          <w:rFonts w:hint="eastAsia" w:ascii="宋体" w:hAnsi="宋体"/>
          <w:b/>
          <w:color w:val="000000"/>
          <w:spacing w:val="-2"/>
          <w:sz w:val="26"/>
          <w:szCs w:val="26"/>
        </w:rPr>
      </w:pPr>
      <w:r>
        <w:rPr>
          <w:rFonts w:hint="eastAsia" w:ascii="宋体" w:hAnsi="宋体"/>
          <w:b/>
          <w:color w:val="000000"/>
          <w:spacing w:val="-2"/>
          <w:sz w:val="26"/>
          <w:szCs w:val="26"/>
        </w:rPr>
        <w:t>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lang w:eastAsia="zh-CN"/>
              </w:rPr>
              <w:t>建筑装饰装修工程</w:t>
            </w:r>
            <w:r>
              <w:t>施工，市政公用工程施工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办公室</w:t>
            </w:r>
            <w:r>
              <w:rPr>
                <w:rFonts w:hint="eastAsia" w:ascii="宋体" w:hAnsi="宋体"/>
                <w:b/>
                <w:color w:val="000000"/>
                <w:sz w:val="20"/>
                <w:szCs w:val="20"/>
              </w:rPr>
              <w:t>、财务部、工程部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项目部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tc>
      </w:tr>
    </w:tbl>
    <w:p>
      <w:pPr>
        <w:pStyle w:val="5"/>
        <w:numPr>
          <w:ilvl w:val="0"/>
          <w:numId w:val="0"/>
        </w:numPr>
        <w:pBdr>
          <w:bottom w:val="none" w:color="auto" w:sz="0" w:space="0"/>
        </w:pBdr>
        <w:ind w:right="600" w:rightChars="0"/>
        <w:jc w:val="both"/>
        <w:rPr>
          <w:rFonts w:hint="eastAsia" w:ascii="宋体" w:hAnsi="宋体"/>
          <w:b/>
          <w:color w:val="000000"/>
          <w:spacing w:val="-2"/>
          <w:sz w:val="26"/>
          <w:szCs w:val="26"/>
        </w:rPr>
      </w:pPr>
    </w:p>
    <w:p>
      <w:pPr>
        <w:numPr>
          <w:ilvl w:val="0"/>
          <w:numId w:val="1"/>
        </w:numPr>
        <w:spacing w:before="156" w:beforeLines="50" w:line="360" w:lineRule="exact"/>
        <w:ind w:left="0" w:leftChars="0" w:firstLine="221" w:firstLineChars="100"/>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widowControl w:val="0"/>
        <w:numPr>
          <w:ilvl w:val="0"/>
          <w:numId w:val="0"/>
        </w:numPr>
        <w:spacing w:before="156" w:beforeLines="50" w:line="360" w:lineRule="exact"/>
        <w:jc w:val="both"/>
        <w:rPr>
          <w:rFonts w:hint="eastAsia" w:ascii="宋体" w:hAnsi="宋体"/>
          <w:b/>
          <w:color w:val="000000"/>
          <w:sz w:val="22"/>
          <w:szCs w:val="22"/>
        </w:rPr>
      </w:pPr>
    </w:p>
    <w:p>
      <w:pPr>
        <w:widowControl w:val="0"/>
        <w:numPr>
          <w:ilvl w:val="0"/>
          <w:numId w:val="0"/>
        </w:numPr>
        <w:spacing w:before="156" w:beforeLines="50" w:line="360" w:lineRule="exact"/>
        <w:jc w:val="both"/>
        <w:rPr>
          <w:rFonts w:hint="eastAsia" w:ascii="宋体" w:hAnsi="宋体"/>
          <w:b/>
          <w:color w:val="000000"/>
          <w:sz w:val="22"/>
          <w:szCs w:val="22"/>
        </w:rPr>
      </w:pPr>
    </w:p>
    <w:p>
      <w:pPr>
        <w:numPr>
          <w:ilvl w:val="0"/>
          <w:numId w:val="1"/>
        </w:numPr>
        <w:spacing w:before="156" w:beforeLines="50" w:line="320" w:lineRule="exact"/>
        <w:ind w:left="0" w:leftChars="0" w:firstLine="221" w:firstLineChars="100"/>
        <w:rPr>
          <w:rFonts w:hint="eastAsia" w:ascii="宋体" w:hAnsi="宋体"/>
          <w:b/>
          <w:color w:val="000000"/>
          <w:sz w:val="22"/>
          <w:szCs w:val="22"/>
        </w:rPr>
      </w:pPr>
      <w:r>
        <w:rPr>
          <w:rFonts w:hint="eastAsia" w:ascii="宋体" w:hAnsi="宋体"/>
          <w:b/>
          <w:color w:val="000000"/>
          <w:sz w:val="22"/>
          <w:szCs w:val="22"/>
        </w:rPr>
        <w:t>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jc w:val="both"/>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主要工艺</w:t>
            </w:r>
            <w:r>
              <w:rPr>
                <w:rFonts w:hint="eastAsia" w:asciiTheme="minorEastAsia" w:hAnsiTheme="minorEastAsia" w:eastAsiaTheme="minorEastAsia" w:cstheme="minorEastAsia"/>
                <w:color w:val="auto"/>
                <w:szCs w:val="21"/>
                <w:lang w:val="en-US" w:eastAsia="zh-CN"/>
              </w:rPr>
              <w:t>总</w:t>
            </w:r>
            <w:r>
              <w:rPr>
                <w:rFonts w:hint="eastAsia" w:asciiTheme="minorEastAsia" w:hAnsiTheme="minorEastAsia" w:eastAsiaTheme="minorEastAsia" w:cstheme="minorEastAsia"/>
                <w:color w:val="auto"/>
                <w:szCs w:val="21"/>
              </w:rPr>
              <w:t>流程：施工准备→拆除工程→地面工程→防水</w:t>
            </w:r>
            <w:r>
              <w:rPr>
                <w:rFonts w:hint="eastAsia" w:asciiTheme="minorEastAsia" w:hAnsiTheme="minorEastAsia" w:eastAsiaTheme="minorEastAsia" w:cstheme="minorEastAsia"/>
                <w:color w:val="auto"/>
                <w:szCs w:val="21"/>
                <w:lang w:val="en-US" w:eastAsia="zh-CN"/>
              </w:rPr>
              <w:t>施工</w:t>
            </w:r>
            <w:r>
              <w:rPr>
                <w:rFonts w:hint="eastAsia" w:ascii="宋体" w:hAnsi="宋体" w:eastAsia="宋体" w:cs="宋体"/>
                <w:color w:val="auto"/>
                <w:szCs w:val="21"/>
              </w:rPr>
              <w:t>※</w:t>
            </w:r>
            <w:r>
              <w:rPr>
                <w:rFonts w:hint="eastAsia" w:asciiTheme="minorEastAsia" w:hAnsiTheme="minorEastAsia" w:eastAsiaTheme="minorEastAsia" w:cstheme="minorEastAsia"/>
                <w:color w:val="auto"/>
                <w:szCs w:val="21"/>
              </w:rPr>
              <w:t>→基层处理→</w:t>
            </w:r>
            <w:r>
              <w:rPr>
                <w:rFonts w:hint="eastAsia" w:asciiTheme="minorEastAsia" w:hAnsiTheme="minorEastAsia" w:eastAsiaTheme="minorEastAsia" w:cstheme="minorEastAsia"/>
                <w:color w:val="auto"/>
                <w:szCs w:val="21"/>
                <w:lang w:val="en-US" w:eastAsia="zh-CN"/>
              </w:rPr>
              <w:t>墙面、地面</w:t>
            </w:r>
            <w:r>
              <w:rPr>
                <w:rFonts w:hint="eastAsia" w:asciiTheme="minorEastAsia" w:hAnsiTheme="minorEastAsia" w:eastAsiaTheme="minorEastAsia" w:cstheme="minorEastAsia"/>
                <w:color w:val="auto"/>
                <w:szCs w:val="21"/>
              </w:rPr>
              <w:t>贴砖→洁具安装→灯具安装→调试→清理卫生→竣工验收</w:t>
            </w:r>
          </w:p>
          <w:p>
            <w:pPr>
              <w:pStyle w:val="2"/>
              <w:ind w:firstLine="460" w:firstLineChars="200"/>
              <w:rPr>
                <w:rFonts w:hint="eastAsia"/>
                <w:color w:val="auto"/>
              </w:rPr>
            </w:pPr>
            <w:r>
              <w:rPr>
                <w:rFonts w:hint="eastAsia" w:asciiTheme="minorEastAsia" w:hAnsiTheme="minorEastAsia" w:eastAsiaTheme="minorEastAsia" w:cstheme="minorEastAsia"/>
                <w:color w:val="auto"/>
                <w:szCs w:val="21"/>
                <w:lang w:val="en-US" w:eastAsia="zh-CN"/>
              </w:rPr>
              <w:t>其中：地砖铺设</w:t>
            </w:r>
            <w:r>
              <w:rPr>
                <w:rFonts w:hint="eastAsia"/>
                <w:color w:val="auto"/>
              </w:rPr>
              <w:t>工艺</w:t>
            </w:r>
            <w:r>
              <w:rPr>
                <w:rFonts w:hint="eastAsia"/>
                <w:color w:val="auto"/>
                <w:lang w:eastAsia="zh-CN"/>
              </w:rPr>
              <w:t>：</w:t>
            </w:r>
            <w:r>
              <w:rPr>
                <w:rFonts w:hint="eastAsia"/>
                <w:color w:val="auto"/>
              </w:rPr>
              <w:t>基层处理—卫生间防水找平层---卫生间防水层—防水保护层及找坡层--弹线、找规矩--铺石材或砖、拨缝修整—勾缝、养护。</w:t>
            </w:r>
          </w:p>
          <w:p>
            <w:pPr>
              <w:pStyle w:val="2"/>
              <w:ind w:firstLine="460" w:firstLineChars="200"/>
              <w:rPr>
                <w:rFonts w:hint="eastAsia" w:asciiTheme="minorEastAsia" w:hAnsiTheme="minorEastAsia" w:eastAsiaTheme="minorEastAsia" w:cstheme="minorEastAsia"/>
                <w:color w:val="auto"/>
                <w:szCs w:val="21"/>
              </w:rPr>
            </w:pPr>
            <w:r>
              <w:rPr>
                <w:rFonts w:hint="eastAsia"/>
                <w:color w:val="auto"/>
              </w:rPr>
              <w:t>卫生洁具安装：</w:t>
            </w:r>
          </w:p>
          <w:p>
            <w:pPr>
              <w:pStyle w:val="2"/>
              <w:ind w:firstLine="460" w:firstLineChars="200"/>
              <w:rPr>
                <w:rFonts w:ascii="宋体" w:hAnsi="宋体"/>
                <w:color w:val="000000"/>
                <w:sz w:val="20"/>
                <w:szCs w:val="20"/>
              </w:rPr>
            </w:pPr>
            <w:r>
              <w:rPr>
                <w:color w:val="auto"/>
              </w:rPr>
              <w:t>安装准备→ 卫生洁具及配件检验→ 卫生洁具安装→卫生洁具配件预装→卫生洁具稳装→卫生洁具与墙、地缝处理→卫生洁具外观检查→通水试验</w:t>
            </w:r>
            <w:r>
              <w:rPr>
                <w:rFonts w:hint="eastAsia" w:asciiTheme="minorEastAsia" w:hAnsiTheme="minorEastAsia" w:eastAsiaTheme="minorEastAsia" w:cstheme="minorEastAsia"/>
                <w:color w:val="auto"/>
                <w:szCs w:val="21"/>
              </w:rPr>
              <w:t>→竣工验收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color w:val="auto"/>
                <w:szCs w:val="21"/>
                <w:lang w:val="en-US" w:eastAsia="zh-CN"/>
              </w:rPr>
              <w:t xml:space="preserve">安装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Times New Roman" w:hAnsi="Times New Roman" w:cs="Times New Roman"/>
                <w:szCs w:val="21"/>
              </w:rPr>
              <w:t>施工方案</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Cs w:val="21"/>
              </w:rPr>
              <w:t>防水</w:t>
            </w:r>
            <w:r>
              <w:rPr>
                <w:rFonts w:hint="eastAsia" w:asciiTheme="minorEastAsia" w:hAnsiTheme="minorEastAsia" w:eastAsiaTheme="minorEastAsia" w:cstheme="minorEastAsia"/>
                <w:color w:val="auto"/>
                <w:szCs w:val="21"/>
                <w:lang w:val="en-US" w:eastAsia="zh-CN"/>
              </w:rPr>
              <w:t>施工、涂漆过程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外包过程有：有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auto"/>
                <w:spacing w:val="-10"/>
                <w:sz w:val="20"/>
                <w:szCs w:val="20"/>
              </w:rPr>
            </w:pPr>
            <w:r>
              <w:rPr>
                <w:rFonts w:hint="eastAsia" w:ascii="宋体" w:hAnsi="宋体"/>
                <w:color w:val="auto"/>
                <w:spacing w:val="-10"/>
                <w:sz w:val="20"/>
                <w:szCs w:val="20"/>
              </w:rPr>
              <w:t>主要设备：</w:t>
            </w:r>
            <w:r>
              <w:rPr>
                <w:rFonts w:hint="eastAsia" w:asciiTheme="minorEastAsia" w:hAnsiTheme="minorEastAsia" w:eastAsiaTheme="minorEastAsia" w:cstheme="minorEastAsia"/>
                <w:szCs w:val="21"/>
              </w:rPr>
              <w:t>手枪钻、切割机、电钻、云石机、手提电锯、修边机、曲线锯、电刨、大铲、刨锛、瓦刀、扇子、托线板、线坠、小白线、钢卷尺、皮数杆、小水桶、灰槽、砖夹子、扫帚</w:t>
            </w:r>
            <w:r>
              <w:rPr>
                <w:rFonts w:hint="eastAsia" w:asciiTheme="minorEastAsia" w:hAnsiTheme="minorEastAsia" w:eastAsiaTheme="minorEastAsia" w:cstheme="minorEastAsia"/>
                <w:color w:val="auto"/>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000000"/>
                <w:sz w:val="20"/>
                <w:szCs w:val="20"/>
              </w:rPr>
              <w:t>全站仪、水准仪、经纬仪等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重要环境因素有：固体废弃物的处置、火灾的发生、噪声的排放</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不可接受风险有：触电、潜在火灾、高空坠落</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w:t>
            </w:r>
            <w:r>
              <w:rPr>
                <w:rFonts w:hint="eastAsia" w:ascii="MS Mincho" w:hAnsi="MS Mincho" w:eastAsia="MS Mincho" w:cs="MS Mincho"/>
                <w:color w:val="000000"/>
                <w:spacing w:val="-10"/>
                <w:sz w:val="20"/>
                <w:szCs w:val="20"/>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widowControl w:val="0"/>
        <w:numPr>
          <w:ilvl w:val="0"/>
          <w:numId w:val="0"/>
        </w:numPr>
        <w:spacing w:before="156" w:beforeLines="50" w:line="320" w:lineRule="exact"/>
        <w:jc w:val="both"/>
        <w:rPr>
          <w:rFonts w:hint="eastAsia" w:ascii="宋体" w:hAns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bookmarkStart w:id="21" w:name="企业人数"/>
            <w:r>
              <w:rPr>
                <w:b/>
                <w:color w:val="000000" w:themeColor="text1"/>
                <w:sz w:val="22"/>
                <w:szCs w:val="22"/>
                <w:u w:val="single"/>
              </w:rPr>
              <w:t>63</w:t>
            </w:r>
            <w:bookmarkEnd w:id="21"/>
            <w:r>
              <w:rPr>
                <w:rFonts w:hint="eastAsia" w:ascii="宋体"/>
                <w:color w:val="000000"/>
                <w:sz w:val="20"/>
                <w:szCs w:val="20"/>
                <w:lang w:val="en-US" w:eastAsia="zh-CN"/>
              </w:rPr>
              <w:t xml:space="preserve"> </w:t>
            </w:r>
            <w:r>
              <w:rPr>
                <w:rFonts w:hint="eastAsia" w:ascii="宋体"/>
                <w:color w:val="000000"/>
                <w:sz w:val="20"/>
                <w:szCs w:val="20"/>
              </w:rPr>
              <w:t>人，其中管理人员：</w:t>
            </w:r>
            <w:r>
              <w:rPr>
                <w:rFonts w:hint="eastAsia" w:ascii="Times New Roman" w:hAnsi="Times New Roman" w:cs="Times New Roman"/>
                <w:b/>
                <w:color w:val="000000" w:themeColor="text1"/>
                <w:sz w:val="22"/>
                <w:szCs w:val="22"/>
                <w:u w:val="single"/>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numPr>
          <w:ilvl w:val="0"/>
          <w:numId w:val="0"/>
        </w:numPr>
        <w:spacing w:before="156" w:beforeLines="50" w:line="360" w:lineRule="exact"/>
        <w:ind w:leftChars="100"/>
        <w:rPr>
          <w:rFonts w:hint="eastAsia" w:ascii="宋体" w:hAnsi="宋体"/>
          <w:b/>
          <w:color w:val="000000"/>
          <w:sz w:val="22"/>
          <w:szCs w:val="22"/>
        </w:rPr>
      </w:pPr>
      <w:r>
        <w:rPr>
          <w:rFonts w:hint="eastAsia" w:ascii="宋体" w:hAnsi="宋体"/>
          <w:b/>
          <w:color w:val="000000"/>
          <w:sz w:val="22"/>
          <w:szCs w:val="22"/>
          <w:lang w:val="en-US" w:eastAsia="zh-CN"/>
        </w:rPr>
        <w:t xml:space="preserve">十一 </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重点审核部门：行政部、工程部、项目部</w:t>
            </w:r>
          </w:p>
          <w:p>
            <w:pPr>
              <w:tabs>
                <w:tab w:val="left" w:pos="3963"/>
              </w:tabs>
              <w:spacing w:line="360" w:lineRule="auto"/>
              <w:rPr>
                <w:rFonts w:ascii="宋体"/>
                <w:b/>
                <w:color w:val="000000"/>
                <w:sz w:val="20"/>
                <w:szCs w:val="20"/>
              </w:rPr>
            </w:pPr>
            <w:r>
              <w:rPr>
                <w:rFonts w:hint="eastAsia" w:ascii="宋体" w:hAnsi="宋体"/>
                <w:b/>
                <w:color w:val="000000"/>
                <w:sz w:val="20"/>
                <w:szCs w:val="20"/>
              </w:rPr>
              <w:t>重点审核过程：关键过程、隐蔽工程</w:t>
            </w:r>
            <w:r>
              <w:rPr>
                <w:rFonts w:ascii="宋体" w:hAnsi="宋体"/>
                <w:b/>
                <w:color w:val="000000"/>
                <w:sz w:val="20"/>
                <w:szCs w:val="20"/>
              </w:rPr>
              <w:tab/>
            </w:r>
          </w:p>
          <w:p>
            <w:pPr>
              <w:spacing w:line="360" w:lineRule="auto"/>
              <w:rPr>
                <w:rFonts w:ascii="宋体"/>
                <w:b/>
                <w:color w:val="000000"/>
                <w:sz w:val="20"/>
                <w:szCs w:val="20"/>
              </w:rPr>
            </w:pPr>
            <w:r>
              <w:rPr>
                <w:rFonts w:hint="eastAsia" w:ascii="宋体" w:hAnsi="宋体"/>
                <w:b/>
                <w:color w:val="000000"/>
                <w:sz w:val="20"/>
                <w:szCs w:val="20"/>
              </w:rPr>
              <w:t>重点审核场所：办公室、项目部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tc>
      </w:tr>
    </w:tbl>
    <w:p>
      <w:pPr>
        <w:spacing w:line="200" w:lineRule="exact"/>
        <w:rPr>
          <w:rFonts w:ascii="宋体"/>
          <w:b/>
          <w:color w:val="000000"/>
          <w:sz w:val="26"/>
          <w:szCs w:val="26"/>
        </w:rPr>
      </w:pPr>
    </w:p>
    <w:p>
      <w:pPr>
        <w:numPr>
          <w:ilvl w:val="0"/>
          <w:numId w:val="0"/>
        </w:numPr>
        <w:spacing w:line="320" w:lineRule="exact"/>
        <w:ind w:leftChars="100"/>
        <w:rPr>
          <w:rFonts w:hint="eastAsia" w:ascii="宋体" w:hAnsi="宋体"/>
          <w:b/>
          <w:color w:val="000000"/>
          <w:sz w:val="26"/>
          <w:szCs w:val="26"/>
        </w:rPr>
      </w:pPr>
      <w:r>
        <w:rPr>
          <w:rFonts w:hint="eastAsia" w:ascii="宋体" w:hAnsi="宋体"/>
          <w:b/>
          <w:color w:val="000000"/>
          <w:sz w:val="26"/>
          <w:szCs w:val="26"/>
          <w:lang w:val="en-US" w:eastAsia="zh-CN"/>
        </w:rPr>
        <w:t xml:space="preserve">十二 </w:t>
      </w:r>
      <w:r>
        <w:rPr>
          <w:rFonts w:hint="eastAsia" w:ascii="宋体" w:hAnsi="宋体"/>
          <w:b/>
          <w:color w:val="000000"/>
          <w:sz w:val="26"/>
          <w:szCs w:val="26"/>
        </w:rPr>
        <w:t>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bookmarkStart w:id="22" w:name="_GoBack"/>
            <w:bookmarkEnd w:id="22"/>
          </w:p>
        </w:tc>
      </w:tr>
    </w:tbl>
    <w:p>
      <w:pPr>
        <w:widowControl/>
        <w:numPr>
          <w:ilvl w:val="0"/>
          <w:numId w:val="0"/>
        </w:numPr>
        <w:ind w:leftChars="100"/>
        <w:jc w:val="left"/>
        <w:rPr>
          <w:rFonts w:hint="eastAsia" w:ascii="宋体" w:hAnsi="宋体"/>
          <w:b/>
          <w:color w:val="000000"/>
          <w:sz w:val="26"/>
          <w:szCs w:val="26"/>
        </w:rPr>
      </w:pPr>
      <w:r>
        <w:rPr>
          <w:rFonts w:hint="eastAsia" w:ascii="宋体" w:hAnsi="宋体"/>
          <w:b/>
          <w:color w:val="000000"/>
          <w:sz w:val="26"/>
          <w:szCs w:val="26"/>
          <w:lang w:val="en-US" w:eastAsia="zh-CN"/>
        </w:rPr>
        <w:t xml:space="preserve">十三 </w:t>
      </w:r>
      <w:r>
        <w:rPr>
          <w:rFonts w:hint="eastAsia" w:ascii="宋体" w:hAnsi="宋体"/>
          <w:b/>
          <w:color w:val="000000"/>
          <w:sz w:val="26"/>
          <w:szCs w:val="26"/>
        </w:rPr>
        <w:t>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(QMS /EMS/OHSMS)</w:t>
            </w:r>
          </w:p>
          <w:p>
            <w:pPr>
              <w:spacing w:line="280" w:lineRule="exact"/>
              <w:rPr>
                <w:rFonts w:ascii="宋体"/>
                <w:b/>
                <w:color w:val="000000"/>
                <w:sz w:val="20"/>
                <w:szCs w:val="20"/>
              </w:rPr>
            </w:pPr>
            <w:r>
              <w:rPr>
                <w:rFonts w:hint="eastAsia" w:ascii="宋体" w:hAnsi="宋体"/>
                <w:b/>
                <w:color w:val="000000"/>
                <w:szCs w:val="21"/>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11" w:firstLineChars="100"/>
        <w:rPr>
          <w:rFonts w:hint="eastAsia" w:ascii="宋体" w:hAnsi="宋体"/>
          <w:b/>
          <w:color w:val="000000"/>
          <w:sz w:val="20"/>
          <w:szCs w:val="20"/>
        </w:rPr>
      </w:pPr>
      <w:r>
        <w:rPr>
          <w:rFonts w:hint="eastAsia" w:ascii="宋体" w:hAnsi="宋体"/>
          <w:b/>
          <w:color w:val="000000"/>
          <w:szCs w:val="21"/>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pStyle w:val="2"/>
        <w:rPr>
          <w:rFonts w:ascii="宋体"/>
          <w:b/>
          <w:color w:val="000000"/>
          <w:sz w:val="26"/>
          <w:szCs w:val="26"/>
        </w:rPr>
      </w:pPr>
    </w:p>
    <w:p>
      <w:pPr>
        <w:pStyle w:val="2"/>
        <w:rPr>
          <w:rFonts w:ascii="宋体"/>
          <w:b/>
          <w:color w:val="000000"/>
          <w:sz w:val="26"/>
          <w:szCs w:val="26"/>
        </w:rPr>
      </w:pPr>
    </w:p>
    <w:p>
      <w:pPr>
        <w:widowControl/>
        <w:jc w:val="center"/>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color w:val="000000"/>
                <w:sz w:val="24"/>
                <w:szCs w:val="24"/>
                <w:lang w:val="en-US" w:eastAsia="zh-CN"/>
              </w:rPr>
            </w:pPr>
            <w:r>
              <w:rPr>
                <w:rFonts w:hint="eastAsia"/>
                <w:color w:val="000000"/>
                <w:sz w:val="24"/>
                <w:szCs w:val="24"/>
                <w:lang w:val="en-US" w:eastAsia="zh-CN"/>
              </w:rPr>
              <w:t>企业内部审核表中内审计划与审核表，采购部的审核条款部分与企业实际不一致，重新提交内审文件</w:t>
            </w:r>
          </w:p>
        </w:tc>
        <w:tc>
          <w:tcPr>
            <w:tcW w:w="1688" w:type="dxa"/>
            <w:vAlign w:val="center"/>
          </w:tcPr>
          <w:p>
            <w:pPr>
              <w:pStyle w:val="5"/>
              <w:pBdr>
                <w:bottom w:val="none" w:color="auto" w:sz="0" w:space="0"/>
              </w:pBdr>
              <w:tabs>
                <w:tab w:val="center" w:pos="5737"/>
                <w:tab w:val="clear" w:pos="4153"/>
              </w:tabs>
              <w:jc w:val="both"/>
              <w:rPr>
                <w:rFonts w:hint="eastAsia"/>
                <w:color w:val="000000"/>
                <w:sz w:val="24"/>
                <w:szCs w:val="24"/>
                <w:lang w:val="en-US" w:eastAsia="zh-CN"/>
              </w:rPr>
            </w:pPr>
            <w:r>
              <w:rPr>
                <w:rFonts w:hint="eastAsia"/>
                <w:color w:val="000000"/>
                <w:sz w:val="24"/>
                <w:szCs w:val="24"/>
                <w:lang w:val="en-US" w:eastAsia="zh-CN"/>
              </w:rPr>
              <w:t>QEJO</w:t>
            </w:r>
          </w:p>
        </w:tc>
        <w:tc>
          <w:tcPr>
            <w:tcW w:w="1811" w:type="dxa"/>
            <w:vAlign w:val="center"/>
          </w:tcPr>
          <w:p>
            <w:pPr>
              <w:pStyle w:val="5"/>
              <w:pBdr>
                <w:bottom w:val="none" w:color="auto" w:sz="0" w:space="0"/>
              </w:pBdr>
              <w:tabs>
                <w:tab w:val="center" w:pos="5737"/>
                <w:tab w:val="clear" w:pos="4153"/>
              </w:tabs>
              <w:jc w:val="both"/>
              <w:rPr>
                <w:rFonts w:hint="eastAsia"/>
                <w:color w:val="000000"/>
                <w:sz w:val="24"/>
                <w:szCs w:val="24"/>
                <w:lang w:val="en-US" w:eastAsia="zh-CN"/>
              </w:rPr>
            </w:pPr>
            <w:r>
              <w:rPr>
                <w:rFonts w:hint="eastAsia"/>
                <w:color w:val="000000"/>
                <w:sz w:val="24"/>
                <w:szCs w:val="24"/>
                <w:lang w:val="en-US" w:eastAsia="zh-CN"/>
              </w:rPr>
              <w:t xml:space="preserve">QEO9.2 </w:t>
            </w:r>
          </w:p>
          <w:p>
            <w:pPr>
              <w:pStyle w:val="5"/>
              <w:pBdr>
                <w:bottom w:val="none" w:color="auto" w:sz="0" w:space="0"/>
              </w:pBdr>
              <w:tabs>
                <w:tab w:val="center" w:pos="5737"/>
                <w:tab w:val="clear" w:pos="4153"/>
              </w:tabs>
              <w:jc w:val="both"/>
              <w:rPr>
                <w:rFonts w:hint="eastAsia"/>
                <w:color w:val="000000"/>
                <w:sz w:val="24"/>
                <w:szCs w:val="24"/>
                <w:lang w:val="en-US" w:eastAsia="zh-CN"/>
              </w:rPr>
            </w:pPr>
            <w:r>
              <w:rPr>
                <w:rFonts w:hint="eastAsia"/>
                <w:color w:val="000000"/>
                <w:sz w:val="24"/>
                <w:szCs w:val="24"/>
                <w:lang w:val="en-US" w:eastAsia="zh-CN"/>
              </w:rPr>
              <w:t>J12.2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宋体" w:hAnsi="宋体" w:eastAsia="宋体" w:cs="宋体"/>
                <w:b/>
                <w:color w:val="000000"/>
                <w:spacing w:val="-10"/>
                <w:szCs w:val="21"/>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ind w:firstLine="7068" w:firstLineChars="3200"/>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2019年12月31日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rPr>
                <w:rFonts w:hint="eastAsia"/>
                <w:b/>
                <w:color w:val="000000"/>
                <w:sz w:val="22"/>
                <w:szCs w:val="22"/>
              </w:rPr>
              <w:t xml:space="preserve">受审核方确认： </w:t>
            </w:r>
          </w:p>
          <w:p>
            <w:pPr>
              <w:pStyle w:val="2"/>
              <w:rPr>
                <w:rFonts w:hint="eastAsia"/>
              </w:rPr>
            </w:pPr>
          </w:p>
          <w:p>
            <w:pPr>
              <w:spacing w:line="280" w:lineRule="exact"/>
              <w:rPr>
                <w:b/>
                <w:color w:val="000000"/>
                <w:sz w:val="22"/>
                <w:szCs w:val="22"/>
              </w:rPr>
            </w:pP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2019年12月31日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p>
          <w:p>
            <w:pPr>
              <w:spacing w:line="280" w:lineRule="exact"/>
              <w:rPr>
                <w:b/>
                <w:color w:val="000000"/>
                <w:sz w:val="22"/>
                <w:szCs w:val="22"/>
              </w:rPr>
            </w:pP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BFC750"/>
    <w:multiLevelType w:val="singleLevel"/>
    <w:tmpl w:val="DFBFC75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07A49"/>
    <w:rsid w:val="02C42A19"/>
    <w:rsid w:val="03F576B7"/>
    <w:rsid w:val="04994F0A"/>
    <w:rsid w:val="09122897"/>
    <w:rsid w:val="0DA539C3"/>
    <w:rsid w:val="0E1F0EF0"/>
    <w:rsid w:val="0E8C664F"/>
    <w:rsid w:val="0E952F45"/>
    <w:rsid w:val="10967693"/>
    <w:rsid w:val="112640CB"/>
    <w:rsid w:val="11F24521"/>
    <w:rsid w:val="121F3198"/>
    <w:rsid w:val="12D918BF"/>
    <w:rsid w:val="12E92EA9"/>
    <w:rsid w:val="13A61DF8"/>
    <w:rsid w:val="13B11F80"/>
    <w:rsid w:val="13D23E76"/>
    <w:rsid w:val="150E5BAF"/>
    <w:rsid w:val="158714B5"/>
    <w:rsid w:val="164B2E5A"/>
    <w:rsid w:val="16711271"/>
    <w:rsid w:val="16BF5366"/>
    <w:rsid w:val="180E2D52"/>
    <w:rsid w:val="19D40D02"/>
    <w:rsid w:val="19D856EE"/>
    <w:rsid w:val="1D6B5715"/>
    <w:rsid w:val="1D723A08"/>
    <w:rsid w:val="1DAF4438"/>
    <w:rsid w:val="1E3A37F3"/>
    <w:rsid w:val="1F764B3C"/>
    <w:rsid w:val="204249C8"/>
    <w:rsid w:val="206631F0"/>
    <w:rsid w:val="21C3213D"/>
    <w:rsid w:val="226053F8"/>
    <w:rsid w:val="22CB5920"/>
    <w:rsid w:val="24D32265"/>
    <w:rsid w:val="24EF3695"/>
    <w:rsid w:val="25173E5E"/>
    <w:rsid w:val="27F43521"/>
    <w:rsid w:val="286F3518"/>
    <w:rsid w:val="287A26F6"/>
    <w:rsid w:val="2970366F"/>
    <w:rsid w:val="2AE45F45"/>
    <w:rsid w:val="2B4E0EFB"/>
    <w:rsid w:val="2B8B380C"/>
    <w:rsid w:val="2C44011B"/>
    <w:rsid w:val="2DB34BEF"/>
    <w:rsid w:val="302E6B55"/>
    <w:rsid w:val="318C179D"/>
    <w:rsid w:val="341A7BD7"/>
    <w:rsid w:val="34D246A6"/>
    <w:rsid w:val="35B84F49"/>
    <w:rsid w:val="36015C47"/>
    <w:rsid w:val="370D3E92"/>
    <w:rsid w:val="37EB54D6"/>
    <w:rsid w:val="39241EA9"/>
    <w:rsid w:val="39C706E8"/>
    <w:rsid w:val="3AC53F69"/>
    <w:rsid w:val="3B703F40"/>
    <w:rsid w:val="3C663738"/>
    <w:rsid w:val="3E8B4987"/>
    <w:rsid w:val="409C69DD"/>
    <w:rsid w:val="412C6BFE"/>
    <w:rsid w:val="41312646"/>
    <w:rsid w:val="44C60302"/>
    <w:rsid w:val="46544762"/>
    <w:rsid w:val="47FA1C98"/>
    <w:rsid w:val="483D5D2D"/>
    <w:rsid w:val="48835A52"/>
    <w:rsid w:val="4ACB5947"/>
    <w:rsid w:val="4B876F7E"/>
    <w:rsid w:val="4C064F1C"/>
    <w:rsid w:val="4DDA76A4"/>
    <w:rsid w:val="4E934F04"/>
    <w:rsid w:val="4FEA4BE7"/>
    <w:rsid w:val="514903CD"/>
    <w:rsid w:val="51B9700E"/>
    <w:rsid w:val="538628D8"/>
    <w:rsid w:val="54576EFE"/>
    <w:rsid w:val="5586240D"/>
    <w:rsid w:val="57BD13DB"/>
    <w:rsid w:val="5973546C"/>
    <w:rsid w:val="5B3658EA"/>
    <w:rsid w:val="5CE953D8"/>
    <w:rsid w:val="5D194B2C"/>
    <w:rsid w:val="5DEB07C1"/>
    <w:rsid w:val="610D2FBF"/>
    <w:rsid w:val="629B0682"/>
    <w:rsid w:val="63075574"/>
    <w:rsid w:val="63102391"/>
    <w:rsid w:val="64820FB1"/>
    <w:rsid w:val="6817706C"/>
    <w:rsid w:val="682449D6"/>
    <w:rsid w:val="687278D5"/>
    <w:rsid w:val="68E7517B"/>
    <w:rsid w:val="6AD20592"/>
    <w:rsid w:val="6CC41510"/>
    <w:rsid w:val="6D2631ED"/>
    <w:rsid w:val="6D3650A0"/>
    <w:rsid w:val="6FC30BF6"/>
    <w:rsid w:val="742106A5"/>
    <w:rsid w:val="75890F2D"/>
    <w:rsid w:val="75CB3470"/>
    <w:rsid w:val="76F25311"/>
    <w:rsid w:val="76F61D0C"/>
    <w:rsid w:val="76F665B0"/>
    <w:rsid w:val="78B4340B"/>
    <w:rsid w:val="799C318D"/>
    <w:rsid w:val="7A0E663D"/>
    <w:rsid w:val="7ABB4EB3"/>
    <w:rsid w:val="7AF46ABD"/>
    <w:rsid w:val="7B172CCB"/>
    <w:rsid w:val="7C8326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2020-01-21T03:27:14Z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