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30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自贡威荣科技有限公司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确定客户需求——拟定方案——技术服务——客户确认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服务过程，依据生产和服务程序控制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产品质量法、消费者权益保护法、</w:t>
            </w:r>
            <w:r>
              <w:rPr>
                <w:rFonts w:hint="eastAsia"/>
                <w:b/>
                <w:sz w:val="20"/>
              </w:rPr>
              <w:t>中华人民共和国安全消防法</w:t>
            </w:r>
            <w:r>
              <w:rPr>
                <w:rFonts w:hint="eastAsia"/>
                <w:b/>
                <w:sz w:val="20"/>
                <w:lang w:val="en-US" w:eastAsia="zh-CN"/>
              </w:rPr>
              <w:t>、中华人民共和国道路交通安全法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、中华人民共和国环境保护法、AQ 2012-2007石</w:t>
            </w:r>
            <w:bookmarkStart w:id="3" w:name="_GoBack"/>
            <w:bookmarkEnd w:id="3"/>
            <w:r>
              <w:rPr>
                <w:rFonts w:hint="eastAsia"/>
                <w:b/>
                <w:sz w:val="20"/>
                <w:lang w:eastAsia="zh-CN"/>
              </w:rPr>
              <w:t>油天然气安全规程、SY/T5172-2007《直井井眼轨迹控制技术》、GB/T16782-1997油基钻井液现场测试程序、GB/T16783-1997水基钻井液现场测试程序、SY/T5008-2008《钻井井身质量控制规范》、SY/T5955-2004《定向井井身轨迹质量》、Q/SYJD316-2005《定向井技术装备配套要求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服务质量监控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158750</wp:posOffset>
                  </wp:positionV>
                  <wp:extent cx="812165" cy="275590"/>
                  <wp:effectExtent l="0" t="0" r="635" b="3810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162560</wp:posOffset>
                  </wp:positionV>
                  <wp:extent cx="812165" cy="275590"/>
                  <wp:effectExtent l="0" t="0" r="635" b="3810"/>
                  <wp:wrapNone/>
                  <wp:docPr id="5" name="图片 5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3"/>
        <w:gridCol w:w="1300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自贡威荣科技有限公司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3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确定客户需求——拟定方案——技术服务——客户确认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1）固废的排放；2）潜在火灾；3）环境污染（钻井液对土地、水的污染）；4)粉尘；5)噪声；6）化学试剂的废弃，通过管理方案和预防预案进行控制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产品质量法、消费者权益保护法、</w:t>
            </w:r>
            <w:r>
              <w:rPr>
                <w:rFonts w:hint="eastAsia"/>
                <w:b/>
                <w:sz w:val="20"/>
              </w:rPr>
              <w:t>中华人民共和国安全消防法</w:t>
            </w:r>
            <w:r>
              <w:rPr>
                <w:rFonts w:hint="eastAsia"/>
                <w:b/>
                <w:sz w:val="20"/>
                <w:lang w:val="en-US" w:eastAsia="zh-CN"/>
              </w:rPr>
              <w:t>、中华人民共和国道路交通安全法</w:t>
            </w:r>
            <w:r>
              <w:rPr>
                <w:rFonts w:hint="eastAsia"/>
                <w:b/>
                <w:sz w:val="20"/>
                <w:lang w:eastAsia="zh-CN"/>
              </w:rPr>
              <w:t>、中华人民共和国环境保护法、AQ 2012-2007石油天然气安全规程、SY/T5172-2007《直井井眼轨迹控制技术》、GB/T16782-1997油基钻井液现场测试程序、GB/T16783-1997水基钻井液现场测试程序、SY/T5008-2008《钻井井身质量控制规范》、SY/T5955-2004《定向井井身轨迹质量》、Q/SYJD316-2005《定向井技术装备配套要求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158750</wp:posOffset>
                  </wp:positionV>
                  <wp:extent cx="812165" cy="275590"/>
                  <wp:effectExtent l="0" t="0" r="635" b="3810"/>
                  <wp:wrapNone/>
                  <wp:docPr id="8" name="图片 8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162560</wp:posOffset>
                  </wp:positionV>
                  <wp:extent cx="812165" cy="275590"/>
                  <wp:effectExtent l="0" t="0" r="635" b="3810"/>
                  <wp:wrapNone/>
                  <wp:docPr id="9" name="图片 9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2022.8.18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50594E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718</Words>
  <Characters>740</Characters>
  <Lines>2</Lines>
  <Paragraphs>1</Paragraphs>
  <TotalTime>0</TotalTime>
  <ScaleCrop>false</ScaleCrop>
  <LinksUpToDate>false</LinksUpToDate>
  <CharactersWithSpaces>744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2022-08-18T01:17:13Z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2052-11.1.0.12313</vt:lpwstr>
  </property>
</Properties>
</file>