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0979-2022-QEO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洪湖市鼎固商砼有限公司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洪湖市鼎固商砼有限公司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湖北省洪湖市乌林镇松林村</w:t>
            </w:r>
            <w:bookmarkEnd w:id="6"/>
          </w:p>
        </w:tc>
        <w:tc>
          <w:tcPr>
            <w:tcW w:w="1242" w:type="dxa"/>
            <w:vMerge w:val="restart"/>
            <w:vAlign w:val="center"/>
          </w:tcPr>
          <w:p>
            <w:r>
              <w:rPr>
                <w:rFonts w:hint="eastAsia"/>
              </w:rPr>
              <w:t>邮编</w:t>
            </w:r>
          </w:p>
        </w:tc>
        <w:tc>
          <w:tcPr>
            <w:tcW w:w="1771" w:type="dxa"/>
          </w:tcPr>
          <w:p>
            <w:bookmarkStart w:id="7" w:name="注册邮编"/>
            <w:r>
              <w:t>433210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湖北省洪湖市乌林镇松林村</w:t>
            </w:r>
            <w:bookmarkEnd w:id="8"/>
          </w:p>
        </w:tc>
        <w:tc>
          <w:tcPr>
            <w:tcW w:w="1242" w:type="dxa"/>
            <w:vMerge w:val="continue"/>
            <w:vAlign w:val="center"/>
          </w:tcPr>
          <w:p/>
        </w:tc>
        <w:tc>
          <w:tcPr>
            <w:tcW w:w="1771" w:type="dxa"/>
          </w:tcPr>
          <w:p>
            <w:bookmarkStart w:id="9" w:name="办公邮编"/>
            <w:r>
              <w:t>433210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闵熊</w:t>
            </w:r>
            <w:bookmarkEnd w:id="10"/>
          </w:p>
        </w:tc>
        <w:tc>
          <w:tcPr>
            <w:tcW w:w="1313" w:type="dxa"/>
            <w:vAlign w:val="center"/>
          </w:tcPr>
          <w:p>
            <w:r>
              <w:rPr>
                <w:rFonts w:hint="eastAsia"/>
              </w:rPr>
              <w:t>电话.</w:t>
            </w:r>
          </w:p>
        </w:tc>
        <w:tc>
          <w:tcPr>
            <w:tcW w:w="2180" w:type="dxa"/>
            <w:vAlign w:val="center"/>
          </w:tcPr>
          <w:p>
            <w:bookmarkStart w:id="11" w:name="联系人电话"/>
            <w:r>
              <w:t>0716——2888575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叶绍华</w:t>
            </w:r>
            <w:bookmarkEnd w:id="13"/>
          </w:p>
        </w:tc>
        <w:tc>
          <w:tcPr>
            <w:tcW w:w="1313" w:type="dxa"/>
            <w:vAlign w:val="center"/>
          </w:tcPr>
          <w:p>
            <w:r>
              <w:rPr>
                <w:rFonts w:hint="eastAsia"/>
              </w:rPr>
              <w:t>管理者代表</w:t>
            </w:r>
          </w:p>
        </w:tc>
        <w:tc>
          <w:tcPr>
            <w:tcW w:w="2180" w:type="dxa"/>
          </w:tcPr>
          <w:p>
            <w:bookmarkStart w:id="14" w:name="管理者代表"/>
            <w:r>
              <w:t>闵熊</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lang w:val="en-US" w:eastAsia="zh-CN"/>
              </w:rPr>
            </w:pPr>
            <w:r>
              <w:rPr>
                <w:rFonts w:hint="default"/>
                <w:lang w:val="en-US" w:eastAsia="zh-CN"/>
              </w:rPr>
              <w:t xml:space="preserve">预拌混凝土工业流程: </w:t>
            </w:r>
            <w:r>
              <w:rPr>
                <w:rFonts w:hint="eastAsia"/>
                <w:lang w:val="en-US" w:eastAsia="zh-CN"/>
              </w:rPr>
              <w:t xml:space="preserve">原材料检验→配料→计量→搅拌→检验→运输交付 </w:t>
            </w:r>
            <w:r>
              <w:rPr>
                <w:rFonts w:hint="default"/>
                <w:lang w:val="en-US" w:eastAsia="zh-CN"/>
              </w:rPr>
              <w:t xml:space="preserve">  </w:t>
            </w:r>
          </w:p>
          <w:p>
            <w:pPr>
              <w:rPr>
                <w:rFonts w:hint="default"/>
                <w:lang w:val="en-US" w:eastAsia="zh-CN"/>
              </w:rPr>
            </w:pPr>
            <w:r>
              <w:rPr>
                <w:rFonts w:hint="default"/>
                <w:lang w:val="en-US" w:eastAsia="zh-CN"/>
              </w:rPr>
              <w:t>预拌砂浆工业流程：</w:t>
            </w:r>
            <w:r>
              <w:rPr>
                <w:rFonts w:hint="eastAsia"/>
                <w:lang w:val="en-US" w:eastAsia="zh-CN"/>
              </w:rPr>
              <w:t>原材料检验→配料→计量→搅拌→检验→运输交付 ；</w:t>
            </w:r>
            <w:r>
              <w:rPr>
                <w:rFonts w:hint="default"/>
                <w:lang w:val="en-US" w:eastAsia="zh-CN"/>
              </w:rPr>
              <w:t>干燥、筛分→核算配合比→均匀混料→包装，散装</w:t>
            </w:r>
          </w:p>
          <w:p>
            <w:pPr>
              <w:rPr>
                <w:rFonts w:hint="default" w:ascii="Times New Roman" w:hAnsi="Times New Roman" w:eastAsia="宋体" w:cs="Times New Roman"/>
                <w:lang w:val="en-US" w:eastAsia="zh-CN"/>
              </w:rPr>
            </w:pPr>
            <w:r>
              <w:rPr>
                <w:rFonts w:hint="default"/>
                <w:lang w:val="en-US" w:eastAsia="zh-CN"/>
              </w:rPr>
              <w:t>销</w:t>
            </w:r>
            <w:r>
              <w:rPr>
                <w:rFonts w:hint="default" w:ascii="Times New Roman" w:hAnsi="Times New Roman" w:eastAsia="宋体" w:cs="Times New Roman"/>
                <w:lang w:val="en-US" w:eastAsia="zh-CN"/>
              </w:rPr>
              <w:t>售服务过程：</w:t>
            </w:r>
            <w:r>
              <w:rPr>
                <w:rFonts w:hint="eastAsia" w:ascii="Times New Roman" w:hAnsi="Times New Roman" w:eastAsia="宋体" w:cs="Times New Roman"/>
                <w:lang w:val="en-US" w:eastAsia="zh-CN"/>
              </w:rPr>
              <w:t>市场开发</w:t>
            </w:r>
            <w:r>
              <w:rPr>
                <w:rFonts w:hint="default" w:ascii="Times New Roman" w:hAnsi="Times New Roman" w:eastAsia="宋体" w:cs="Times New Roman"/>
                <w:lang w:val="en-US" w:eastAsia="zh-CN"/>
              </w:rPr>
              <w:t>→签订合同/下采购单→备货发货→售后服务</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2022年08月17日 上午至2022年08月20日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Q：预拌混凝土、预拌砂浆的生产及销售</w:t>
            </w:r>
          </w:p>
          <w:p>
            <w:r>
              <w:t>E：预拌混凝土、预拌砂浆的生产及销售所涉及场所的相关环境管理活动</w:t>
            </w:r>
          </w:p>
          <w:p>
            <w:r>
              <w:t>O：预拌混凝土、预拌砂浆的生产及销售所涉及场所的相关职业健康安全管理活动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Q：16.02.03</w:t>
            </w:r>
          </w:p>
          <w:p>
            <w:r>
              <w:t>E：16.02.03</w:t>
            </w:r>
          </w:p>
          <w:p>
            <w:r>
              <w:t>O：16.02.03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sym w:font="Wingdings 2" w:char="0052"/>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de-DE" w:eastAsia="zh-CN"/>
              </w:rPr>
            </w:pPr>
            <w:r>
              <w:rPr>
                <w:rFonts w:hint="eastAsia"/>
                <w:lang w:val="de-DE" w:eastAsia="ja-JP"/>
              </w:rPr>
              <w:t>洪湖市鼎固商砼有限公司</w:t>
            </w:r>
            <w:r>
              <w:rPr>
                <w:rFonts w:hint="eastAsia"/>
                <w:lang w:val="de-DE" w:eastAsia="zh-CN"/>
              </w:rPr>
              <w:t>；湖北省洪湖市乌林镇松林村</w:t>
            </w:r>
          </w:p>
        </w:tc>
        <w:tc>
          <w:tcPr>
            <w:tcW w:w="2267" w:type="dxa"/>
          </w:tcPr>
          <w:p>
            <w:pPr>
              <w:rPr>
                <w:lang w:val="de-DE" w:eastAsia="ja-JP"/>
              </w:rPr>
            </w:pPr>
            <w:r>
              <w:rPr>
                <w:rFonts w:hint="eastAsia"/>
                <w:lang w:val="de-DE" w:eastAsia="ja-JP"/>
              </w:rPr>
              <w:t>湖北省洪湖市乌林镇松林村</w:t>
            </w:r>
          </w:p>
        </w:tc>
        <w:tc>
          <w:tcPr>
            <w:tcW w:w="571" w:type="dxa"/>
            <w:vAlign w:val="center"/>
          </w:tcPr>
          <w:p>
            <w:pPr>
              <w:rPr>
                <w:rFonts w:hint="default" w:eastAsia="宋体"/>
                <w:lang w:val="en-US" w:eastAsia="zh-CN"/>
              </w:rPr>
            </w:pPr>
            <w:r>
              <w:rPr>
                <w:rFonts w:hint="eastAsia"/>
                <w:lang w:val="en-US" w:eastAsia="zh-CN"/>
              </w:rPr>
              <w:t>56</w:t>
            </w:r>
          </w:p>
        </w:tc>
        <w:tc>
          <w:tcPr>
            <w:tcW w:w="2803" w:type="dxa"/>
            <w:vAlign w:val="center"/>
          </w:tcPr>
          <w:p>
            <w:pPr>
              <w:rPr>
                <w:rFonts w:hint="eastAsia"/>
                <w:lang w:eastAsia="ja-JP"/>
              </w:rPr>
            </w:pPr>
            <w:r>
              <w:rPr>
                <w:rFonts w:hint="eastAsia"/>
                <w:lang w:eastAsia="ja-JP"/>
              </w:rPr>
              <w:t>Q：预拌混凝土、预拌砂浆的生产及销售</w:t>
            </w:r>
          </w:p>
          <w:p>
            <w:pPr>
              <w:rPr>
                <w:rFonts w:hint="eastAsia"/>
                <w:lang w:eastAsia="ja-JP"/>
              </w:rPr>
            </w:pPr>
            <w:r>
              <w:rPr>
                <w:rFonts w:hint="eastAsia"/>
                <w:lang w:eastAsia="ja-JP"/>
              </w:rPr>
              <w:t>E：预拌混凝土、预拌砂浆的生产及销售所涉及场所的相关环境管理活动</w:t>
            </w:r>
          </w:p>
          <w:p>
            <w:pPr>
              <w:rPr>
                <w:lang w:eastAsia="ja-JP"/>
              </w:rPr>
            </w:pPr>
            <w:r>
              <w:rPr>
                <w:rFonts w:hint="eastAsia"/>
                <w:lang w:eastAsia="ja-JP"/>
              </w:rPr>
              <w:t>O：预拌混凝土、预拌砂浆的生产及销售所涉及场所的相关职业健康安全管理活动</w:t>
            </w:r>
          </w:p>
        </w:tc>
        <w:tc>
          <w:tcPr>
            <w:tcW w:w="669" w:type="dxa"/>
            <w:vAlign w:val="center"/>
          </w:tcPr>
          <w:p>
            <w:pPr>
              <w:rPr>
                <w:lang w:eastAsia="ja-JP"/>
              </w:rPr>
            </w:pPr>
            <w:r>
              <w:rPr>
                <w:rFonts w:hint="eastAsia"/>
                <w:lang w:eastAsia="ja-JP"/>
              </w:rPr>
              <w:t>Q：GB/T19001-2016/ISO9001:2015,E：GB/T 24001-2016/ISO14001:2015,O：GB/T45001-2020 / ISO45001：2018</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A3"/>
            </w:r>
            <w:r>
              <w:rPr>
                <w:rFonts w:hint="eastAsia"/>
              </w:rPr>
              <w:t>未完成审核计划</w:t>
            </w:r>
          </w:p>
        </w:tc>
        <w:tc>
          <w:tcPr>
            <w:tcW w:w="5761" w:type="dxa"/>
          </w:tcPr>
          <w:p>
            <w:pPr>
              <w:rPr>
                <w:rFonts w:hint="eastAsia" w:eastAsia="宋体"/>
                <w:lang w:val="en-US" w:eastAsia="zh-CN"/>
              </w:rPr>
            </w:pPr>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2020-N1QMS-2226478</w:t>
            </w:r>
          </w:p>
          <w:p>
            <w:r>
              <w:t>2020-N1EMS-2226478</w:t>
            </w:r>
          </w:p>
          <w:p>
            <w:r>
              <w:t>2020-N1OHSMS-2226478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2021-N1QMS-1274747</w:t>
            </w:r>
          </w:p>
          <w:p>
            <w:r>
              <w:t>2021-N1EMS-1274747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赵娟</w:t>
            </w:r>
          </w:p>
        </w:tc>
        <w:tc>
          <w:tcPr>
            <w:tcW w:w="1089" w:type="dxa"/>
            <w:vAlign w:val="center"/>
          </w:tcPr>
          <w:p>
            <w:r>
              <w:t>组员</w:t>
            </w:r>
          </w:p>
        </w:tc>
        <w:tc>
          <w:tcPr>
            <w:tcW w:w="711" w:type="dxa"/>
            <w:vAlign w:val="center"/>
          </w:tcPr>
          <w:p>
            <w:r>
              <w:t>女</w:t>
            </w:r>
          </w:p>
        </w:tc>
        <w:tc>
          <w:tcPr>
            <w:tcW w:w="3870" w:type="dxa"/>
            <w:vAlign w:val="center"/>
          </w:tcPr>
          <w:p>
            <w:r>
              <w:t>ISC-JSZJ-559</w:t>
            </w:r>
          </w:p>
          <w:p>
            <w:r>
              <w:t>ISC-JSZJ-559</w:t>
            </w:r>
          </w:p>
          <w:p>
            <w:r>
              <w:t>ISC-JSZJ-559</w:t>
            </w:r>
          </w:p>
          <w:p>
            <w:r>
              <w:t>湖北坤隆建材有限公司</w:t>
            </w:r>
          </w:p>
        </w:tc>
        <w:tc>
          <w:tcPr>
            <w:tcW w:w="2179" w:type="dxa"/>
            <w:vAlign w:val="center"/>
          </w:tcPr>
          <w:p>
            <w:r>
              <w:t>Q:16.02.03</w:t>
            </w:r>
          </w:p>
          <w:p>
            <w:r>
              <w:t>E:16.02.03</w:t>
            </w:r>
          </w:p>
          <w:p>
            <w: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开具2阶段不符合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sym w:font="Wingdings 2" w:char="00A3"/>
      </w: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w:t>
            </w:r>
            <w:r>
              <w:rPr>
                <w:rFonts w:hint="eastAsia"/>
              </w:rPr>
              <w:sym w:font="Wingdings 2" w:char="00A3"/>
            </w:r>
            <w:r>
              <w:rPr>
                <w:rFonts w:hint="eastAsia"/>
              </w:rPr>
              <w:t>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w:t>
            </w:r>
            <w:r>
              <w:rPr>
                <w:rFonts w:hint="eastAsia"/>
              </w:rPr>
              <w:sym w:font="Wingdings 2" w:char="00A3"/>
            </w:r>
            <w:r>
              <w:rPr>
                <w:rFonts w:hint="eastAsia"/>
              </w:rPr>
              <w:t>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w:t>
            </w:r>
            <w:r>
              <w:rPr>
                <w:rFonts w:hint="eastAsia"/>
              </w:rPr>
              <w:sym w:font="Wingdings 2" w:char="00A3"/>
            </w:r>
            <w:r>
              <w:rPr>
                <w:rFonts w:hint="eastAsia"/>
              </w:rPr>
              <w:t>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524510" cy="280670"/>
                  <wp:effectExtent l="0" t="0" r="8890" b="11430"/>
                  <wp:docPr id="1"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527f178761179e49e527589a9ef90"/>
                          <pic:cNvPicPr>
                            <a:picLocks noChangeAspect="1"/>
                          </pic:cNvPicPr>
                        </pic:nvPicPr>
                        <pic:blipFill>
                          <a:blip r:embed="rId6"/>
                          <a:stretch>
                            <a:fillRect/>
                          </a:stretch>
                        </pic:blipFill>
                        <pic:spPr>
                          <a:xfrm>
                            <a:off x="0" y="0"/>
                            <a:ext cx="524510" cy="28067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价值观□文化</w:t>
                  </w:r>
                  <w:r>
                    <w:rPr>
                      <w:rFonts w:hint="eastAsia"/>
                    </w:rPr>
                    <w:sym w:font="Wingdings 2" w:char="0052"/>
                  </w:r>
                  <w:r>
                    <w:rPr>
                      <w:rFonts w:hint="eastAsia"/>
                    </w:rPr>
                    <w:t>知识</w:t>
                  </w:r>
                  <w:r>
                    <w:rPr>
                      <w:rFonts w:hint="eastAsia"/>
                    </w:rPr>
                    <w:sym w:font="Wingdings 2" w:char="0052"/>
                  </w:r>
                  <w:r>
                    <w:rPr>
                      <w:rFonts w:hint="eastAsia"/>
                    </w:rPr>
                    <w:t>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w:t>
            </w:r>
            <w:r>
              <w:rPr>
                <w:rFonts w:hint="eastAsia"/>
              </w:rPr>
              <w:sym w:font="Wingdings 2" w:char="00A3"/>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pStyle w:val="14"/>
              <w:rPr>
                <w:rFonts w:hint="eastAsia"/>
              </w:rPr>
            </w:pPr>
            <w:r>
              <w:rPr>
                <w:rFonts w:hint="eastAsia"/>
              </w:rPr>
              <w:t>技术领航，顾客满意；节能降耗，保护环境；</w:t>
            </w:r>
          </w:p>
          <w:p>
            <w:pPr>
              <w:pStyle w:val="14"/>
              <w:rPr>
                <w:rFonts w:hint="eastAsia"/>
              </w:rPr>
            </w:pPr>
            <w:r>
              <w:rPr>
                <w:rFonts w:hint="eastAsia"/>
              </w:rPr>
              <w:t>健康安全，诚信守法；规范管理，持续改进。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预拌混凝土事业部 ，实验室，PC事业部；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lang w:val="en-US" w:eastAsia="zh-CN"/>
                    </w:rPr>
                    <w:t>市场价格风险、资金风险、产品质量控制风险、品牌风险以及外部良好政策扶持机遇</w:t>
                  </w:r>
                </w:p>
              </w:tc>
              <w:tc>
                <w:tcPr>
                  <w:tcW w:w="3965" w:type="dxa"/>
                </w:tcPr>
                <w:p>
                  <w:pPr>
                    <w:pStyle w:val="14"/>
                    <w:numPr>
                      <w:ilvl w:val="0"/>
                      <w:numId w:val="2"/>
                    </w:numPr>
                    <w:rPr>
                      <w:rFonts w:hint="eastAsia"/>
                      <w:lang w:val="en-US" w:eastAsia="zh-CN"/>
                    </w:rPr>
                  </w:pPr>
                  <w:r>
                    <w:rPr>
                      <w:rFonts w:hint="eastAsia"/>
                      <w:lang w:val="en-US" w:eastAsia="zh-CN"/>
                    </w:rPr>
                    <w:t>主要职能部门按照要求定期收集评法律法规  </w:t>
                  </w:r>
                </w:p>
                <w:p>
                  <w:pPr>
                    <w:pStyle w:val="14"/>
                    <w:numPr>
                      <w:ilvl w:val="0"/>
                      <w:numId w:val="2"/>
                    </w:numPr>
                    <w:rPr>
                      <w:rFonts w:hint="eastAsia"/>
                      <w:lang w:val="en-US" w:eastAsia="zh-CN"/>
                    </w:rPr>
                  </w:pPr>
                  <w:r>
                    <w:rPr>
                      <w:rFonts w:hint="eastAsia"/>
                      <w:lang w:val="en-US" w:eastAsia="zh-CN"/>
                    </w:rPr>
                    <w:t>销售部门加大市场开拓</w:t>
                  </w:r>
                </w:p>
                <w:p>
                  <w:pPr>
                    <w:pStyle w:val="14"/>
                    <w:numPr>
                      <w:ilvl w:val="0"/>
                      <w:numId w:val="0"/>
                    </w:numPr>
                    <w:rPr>
                      <w:rFonts w:hint="default"/>
                      <w:lang w:val="en-US" w:eastAsia="zh-CN"/>
                    </w:rPr>
                  </w:pPr>
                  <w:r>
                    <w:rPr>
                      <w:rFonts w:hint="eastAsia"/>
                      <w:lang w:val="en-US" w:eastAsia="zh-CN"/>
                    </w:rPr>
                    <w:t>等等</w:t>
                  </w:r>
                </w:p>
                <w:p>
                  <w:pPr>
                    <w:shd w:val="clear" w:color="auto" w:fill="C7DAF1" w:themeFill="text2" w:themeFillTint="32"/>
                  </w:pPr>
                </w:p>
              </w:tc>
              <w:tc>
                <w:tcPr>
                  <w:tcW w:w="1717" w:type="dxa"/>
                </w:tcPr>
                <w:p>
                  <w:pPr>
                    <w:shd w:val="clear" w:color="auto" w:fill="C7DAF1" w:themeFill="text2" w:themeFillTint="32"/>
                    <w:rPr>
                      <w:rFonts w:hint="eastAsia"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5"/>
                    <w:shd w:val="clear" w:color="auto" w:fill="C7DAF1" w:themeFill="text2" w:themeFillTint="32"/>
                    <w:spacing w:line="240" w:lineRule="auto"/>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pStyle w:val="25"/>
                    <w:shd w:val="clear" w:color="auto" w:fill="C7DAF1" w:themeFill="text2" w:themeFillTint="32"/>
                    <w:spacing w:line="240" w:lineRule="auto"/>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ascii="宋体" w:hAnsi="宋体"/>
                      <w:color w:val="000000"/>
                      <w:sz w:val="24"/>
                    </w:rPr>
                    <w:t>1、顾客满意度≥95%以上</w:t>
                  </w:r>
                </w:p>
              </w:tc>
              <w:tc>
                <w:tcPr>
                  <w:tcW w:w="3136"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统计数据</w:t>
                  </w:r>
                </w:p>
              </w:tc>
              <w:tc>
                <w:tcPr>
                  <w:tcW w:w="1350" w:type="dxa"/>
                  <w:shd w:val="clear" w:color="auto" w:fill="auto"/>
                  <w:vAlign w:val="center"/>
                </w:tcPr>
                <w:p>
                  <w:pPr>
                    <w:shd w:val="clear" w:color="auto" w:fill="C7DAF1" w:themeFill="text2" w:themeFillTint="32"/>
                    <w:rPr>
                      <w:rFonts w:hint="default"/>
                      <w:lang w:val="en-US"/>
                    </w:rPr>
                  </w:pPr>
                  <w:r>
                    <w:rPr>
                      <w:rFonts w:hint="eastAsia" w:ascii="宋体" w:hAnsi="宋体" w:eastAsia="宋体" w:cs="宋体"/>
                      <w:sz w:val="21"/>
                      <w:szCs w:val="21"/>
                      <w:lang w:val="en-US" w:eastAsia="zh-CN"/>
                    </w:rPr>
                    <w:t>生产部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ascii="宋体" w:hAnsi="宋体"/>
                      <w:color w:val="000000"/>
                      <w:sz w:val="24"/>
                    </w:rPr>
                    <w:t>2、产品一次交验合格率 ≥100%</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统计数据</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eastAsia="宋体" w:cs="宋体"/>
                      <w:sz w:val="21"/>
                      <w:szCs w:val="21"/>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ascii="宋体" w:hAnsi="宋体"/>
                      <w:color w:val="000000"/>
                      <w:sz w:val="24"/>
                    </w:rPr>
                    <w:t>3、产品质量合格率≥100%</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统计数据</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宋体"/>
                      <w:sz w:val="21"/>
                      <w:szCs w:val="21"/>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ascii="宋体" w:hAnsi="宋体"/>
                      <w:color w:val="000000"/>
                      <w:sz w:val="24"/>
                    </w:rPr>
                    <w:t>4、合同履约率≥100%</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统计数据</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供销部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ascii="宋体" w:hAnsi="宋体"/>
                      <w:color w:val="000000"/>
                      <w:sz w:val="24"/>
                    </w:rPr>
                    <w:t>5、设备完好率95%</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统计数据</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rPr>
                    <w:t>生产部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达成</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keepNext w:val="0"/>
              <w:keepLines w:val="0"/>
              <w:widowControl/>
              <w:suppressLineNumbers w:val="0"/>
              <w:jc w:val="left"/>
            </w:pPr>
            <w:r>
              <w:rPr>
                <w:rFonts w:hint="eastAsia"/>
                <w:lang w:val="en-US" w:eastAsia="zh-CN"/>
              </w:rPr>
              <w:t>总面积</w:t>
            </w:r>
            <w:r>
              <w:rPr>
                <w:rFonts w:hint="eastAsia" w:ascii="Times New Roman" w:hAnsi="Times New Roman" w:eastAsia="宋体" w:cs="Times New Roman"/>
                <w:color w:val="000000"/>
                <w:kern w:val="0"/>
                <w:sz w:val="28"/>
                <w:szCs w:val="28"/>
                <w:lang w:val="en-US" w:eastAsia="zh-CN" w:bidi="ar"/>
              </w:rPr>
              <w:t>43344.34</w:t>
            </w:r>
            <w:r>
              <w:rPr>
                <w:rFonts w:hint="default" w:ascii="Times New Roman" w:hAnsi="Times New Roman" w:eastAsia="宋体" w:cs="Times New Roman"/>
                <w:color w:val="000000"/>
                <w:kern w:val="0"/>
                <w:sz w:val="28"/>
                <w:szCs w:val="28"/>
                <w:lang w:val="en-US" w:eastAsia="zh-CN" w:bidi="ar"/>
              </w:rPr>
              <w:t>m</w:t>
            </w:r>
            <w:r>
              <w:rPr>
                <w:rFonts w:hint="default" w:ascii="Times New Roman" w:hAnsi="Times New Roman" w:eastAsia="宋体" w:cs="Times New Roman"/>
                <w:color w:val="000000"/>
                <w:kern w:val="0"/>
                <w:sz w:val="18"/>
                <w:szCs w:val="18"/>
                <w:lang w:val="en-US" w:eastAsia="zh-CN" w:bidi="ar"/>
              </w:rPr>
              <w:t>2</w:t>
            </w:r>
            <w:r>
              <w:rPr>
                <w:rFonts w:ascii="FZKTJW--GB1-0" w:hAnsi="FZKTJW--GB1-0" w:eastAsia="FZKTJW--GB1-0" w:cs="FZKTJW--GB1-0"/>
                <w:color w:val="000000"/>
                <w:kern w:val="0"/>
                <w:sz w:val="28"/>
                <w:szCs w:val="28"/>
                <w:lang w:val="en-US" w:eastAsia="zh-CN" w:bidi="ar"/>
              </w:rPr>
              <w:t>，</w:t>
            </w:r>
            <w:r>
              <w:rPr>
                <w:rFonts w:hint="eastAsia"/>
                <w:lang w:val="en-US" w:eastAsia="zh-CN"/>
              </w:rPr>
              <w:t>办公</w:t>
            </w:r>
            <w:r>
              <w:rPr>
                <w:rFonts w:hint="eastAsia" w:ascii="FZXBSJW--GB1-0" w:hAnsi="FZXBSJW--GB1-0" w:eastAsia="FZXBSJW--GB1-0" w:cs="FZXBSJW--GB1-0"/>
                <w:color w:val="000000"/>
                <w:kern w:val="0"/>
                <w:sz w:val="21"/>
                <w:szCs w:val="21"/>
                <w:lang w:val="en-US" w:eastAsia="zh-CN" w:bidi="ar"/>
              </w:rPr>
              <w:t>300</w:t>
            </w:r>
            <w:r>
              <w:rPr>
                <w:rFonts w:hint="eastAsia"/>
              </w:rPr>
              <w:t>平方米；生产车间</w:t>
            </w:r>
            <w:r>
              <w:rPr>
                <w:rFonts w:hint="eastAsia"/>
                <w:lang w:val="en-US" w:eastAsia="zh-CN"/>
              </w:rPr>
              <w:t xml:space="preserve"> 平</w:t>
            </w:r>
            <w:r>
              <w:rPr>
                <w:rFonts w:hint="eastAsia"/>
              </w:rPr>
              <w:t>；库房</w:t>
            </w:r>
            <w:r>
              <w:rPr>
                <w:rFonts w:hint="eastAsia"/>
                <w:lang w:val="en-US" w:eastAsia="zh-CN"/>
              </w:rPr>
              <w:t>3</w:t>
            </w:r>
            <w:r>
              <w:rPr>
                <w:rFonts w:hint="eastAsia"/>
              </w:rPr>
              <w:t>个；实验室</w:t>
            </w:r>
            <w:r>
              <w:rPr>
                <w:rFonts w:hint="eastAsia"/>
                <w:lang w:val="en-US" w:eastAsia="zh-CN"/>
              </w:rPr>
              <w:t>1</w:t>
            </w:r>
            <w:r>
              <w:rPr>
                <w:rFonts w:hint="eastAsia"/>
              </w:rPr>
              <w:t>个；</w:t>
            </w:r>
          </w:p>
          <w:p>
            <w:pPr>
              <w:shd w:val="clear" w:color="auto" w:fill="C7DAF1" w:themeFill="text2" w:themeFillTint="32"/>
              <w:rPr>
                <w:rFonts w:hint="default"/>
                <w:u w:val="single"/>
                <w:lang w:val="en-US"/>
              </w:rPr>
            </w:pPr>
            <w:r>
              <w:rPr>
                <w:rFonts w:hint="eastAsia"/>
              </w:rPr>
              <w:t>主要生产设备有：</w:t>
            </w:r>
            <w:r>
              <w:rPr>
                <w:rFonts w:hint="eastAsia"/>
                <w:lang w:val="en-US" w:eastAsia="zh-CN"/>
              </w:rPr>
              <w:t>空压机、砂石分离机、柱塞泵、压滤机、污水池搅拌器、进料仓、平皮带、斜皮带、搅拌机、配料系统</w:t>
            </w:r>
            <w:r>
              <w:rPr>
                <w:rFonts w:hint="eastAsia"/>
                <w:sz w:val="21"/>
                <w:szCs w:val="21"/>
                <w:rtl w:val="0"/>
                <w:lang w:val="en-US" w:eastAsia="zh-CN"/>
              </w:rPr>
              <w:t>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A3"/>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sym w:font="Wingdings 2" w:char="0052"/>
            </w:r>
            <w:r>
              <w:rPr>
                <w:rFonts w:hint="eastAsia"/>
              </w:rPr>
              <w:t>未进行定期检验的有：</w:t>
            </w:r>
            <w:r>
              <w:rPr>
                <w:rFonts w:hint="eastAsia"/>
                <w:lang w:val="en-US" w:eastAsia="zh-CN"/>
              </w:rPr>
              <w:t>压力表、安全阀；2阶段开局不符合项；已完成整改，验证合格。</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ascii="Times New Roman" w:hAnsi="Times New Roman" w:cs="Times New Roman"/>
                <w:color w:val="000000" w:themeColor="text1"/>
                <w:kern w:val="2"/>
                <w:sz w:val="24"/>
                <w:lang w:val="en-US" w:eastAsia="zh-CN" w:bidi="ar-SA"/>
              </w:rPr>
              <w:t>地磅</w:t>
            </w:r>
          </w:p>
          <w:p>
            <w:pPr>
              <w:shd w:val="clear" w:color="auto" w:fill="C7DAF1" w:themeFill="text2" w:themeFillTint="32"/>
              <w:rPr>
                <w:rFonts w:hint="default"/>
                <w:u w:val="single"/>
                <w:lang w:val="en-US"/>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sym w:font="Wingdings 2" w:char="00A3"/>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A3"/>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A3"/>
            </w:r>
            <w:r>
              <w:rPr>
                <w:rFonts w:hint="eastAsia"/>
              </w:rPr>
              <w:t>其他</w:t>
            </w:r>
            <w:r>
              <w:rPr>
                <w:rFonts w:hint="eastAsia"/>
                <w:lang w:eastAsia="zh-CN"/>
              </w:rPr>
              <w:t>：</w:t>
            </w:r>
          </w:p>
          <w:p>
            <w:pPr>
              <w:shd w:val="clear" w:color="auto" w:fill="C7DAF1" w:themeFill="text2"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sym w:font="Wingdings 2" w:char="00A3"/>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A3"/>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A3"/>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sym w:font="Wingdings 2" w:char="00A3"/>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A3"/>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1"/>
                      <w:szCs w:val="21"/>
                    </w:rPr>
                    <w:t>预拌混凝土的生产</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配料、搅拌过程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配比计算书、操作规程（搅拌时间控制如C25，30秒）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pStyle w:val="2"/>
                    <w:ind w:left="0" w:leftChars="0" w:firstLine="0" w:firstLineChars="0"/>
                    <w:rPr>
                      <w:rFonts w:hint="default" w:ascii="Times New Roman" w:hAnsi="Times New Roman" w:eastAsia="宋体" w:cs="Times New Roman"/>
                      <w:kern w:val="2"/>
                      <w:sz w:val="21"/>
                      <w:szCs w:val="24"/>
                      <w:lang w:val="en-US" w:eastAsia="zh-CN" w:bidi="ar-SA"/>
                    </w:rPr>
                  </w:pPr>
                  <w:r>
                    <w:rPr>
                      <w:sz w:val="21"/>
                      <w:szCs w:val="21"/>
                    </w:rPr>
                    <w:t>预拌</w:t>
                  </w:r>
                  <w:r>
                    <w:rPr>
                      <w:rFonts w:hint="eastAsia"/>
                      <w:sz w:val="21"/>
                      <w:szCs w:val="21"/>
                      <w:lang w:val="en-US" w:eastAsia="zh-CN"/>
                    </w:rPr>
                    <w:t>砂浆</w:t>
                  </w:r>
                  <w:r>
                    <w:rPr>
                      <w:sz w:val="21"/>
                      <w:szCs w:val="21"/>
                    </w:rPr>
                    <w:t>的生产</w:t>
                  </w:r>
                </w:p>
              </w:tc>
              <w:tc>
                <w:tcPr>
                  <w:tcW w:w="36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lang w:val="en-US" w:eastAsia="zh-CN"/>
                    </w:rPr>
                    <w:t>配料、搅拌过程</w:t>
                  </w: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lang w:val="en-US" w:eastAsia="zh-CN"/>
                    </w:rPr>
                    <w:t>配比计算书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pStyle w:val="2"/>
                    <w:ind w:left="0" w:leftChars="0" w:firstLine="0" w:firstLineChars="0"/>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销售过程</w:t>
                  </w:r>
                </w:p>
              </w:tc>
              <w:tc>
                <w:tcPr>
                  <w:tcW w:w="36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销售过程</w:t>
                  </w: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规范、设备、记录表格等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pStyle w:val="2"/>
                    <w:rPr>
                      <w:rFonts w:hint="default"/>
                      <w:lang w:val="en-US"/>
                    </w:rPr>
                  </w:pPr>
                </w:p>
              </w:tc>
              <w:tc>
                <w:tcPr>
                  <w:tcW w:w="3665" w:type="dxa"/>
                </w:tcPr>
                <w:p>
                  <w:pPr>
                    <w:shd w:val="clear" w:color="auto" w:fill="C7DAF1" w:themeFill="text2" w:themeFillTint="32"/>
                    <w:jc w:val="left"/>
                    <w:rPr>
                      <w:rFonts w:hint="eastAsia" w:ascii="Times New Roman" w:hAnsi="Times New Roman" w:eastAsia="宋体" w:cs="Times New Roman"/>
                      <w:lang w:eastAsia="zh-CN"/>
                    </w:rPr>
                  </w:pP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p>
              </w:tc>
              <w:tc>
                <w:tcPr>
                  <w:tcW w:w="3665" w:type="dxa"/>
                </w:tcPr>
                <w:p>
                  <w:pPr>
                    <w:shd w:val="clear" w:color="auto" w:fill="C7DAF1" w:themeFill="text2" w:themeFillTint="32"/>
                    <w:jc w:val="left"/>
                    <w:rPr>
                      <w:rFonts w:hint="eastAsia" w:ascii="Times New Roman" w:hAnsi="Times New Roman" w:eastAsia="宋体" w:cs="Times New Roman"/>
                      <w:lang w:eastAsia="zh-CN"/>
                    </w:rPr>
                  </w:pP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p>
              </w:tc>
              <w:tc>
                <w:tcPr>
                  <w:tcW w:w="3665" w:type="dxa"/>
                </w:tcPr>
                <w:p>
                  <w:pPr>
                    <w:shd w:val="clear" w:color="auto" w:fill="C7DAF1" w:themeFill="text2" w:themeFillTint="32"/>
                    <w:jc w:val="left"/>
                    <w:rPr>
                      <w:rFonts w:hint="eastAsia" w:ascii="Times New Roman" w:hAnsi="Times New Roman" w:eastAsia="宋体" w:cs="Times New Roman"/>
                      <w:lang w:eastAsia="zh-CN"/>
                    </w:rPr>
                  </w:pPr>
                </w:p>
              </w:tc>
              <w:tc>
                <w:tcPr>
                  <w:tcW w:w="3265" w:type="dxa"/>
                </w:tcPr>
                <w:p>
                  <w:pPr>
                    <w:shd w:val="clear" w:color="auto" w:fill="C7DAF1" w:themeFill="text2" w:themeFillTint="32"/>
                    <w:jc w:val="left"/>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eastAsia" w:ascii="Times New Roman" w:hAnsi="Times New Roman" w:cs="Times New Roman"/>
                      <w:lang w:eastAsia="zh-CN"/>
                    </w:rPr>
                  </w:pPr>
                </w:p>
              </w:tc>
              <w:tc>
                <w:tcPr>
                  <w:tcW w:w="3665" w:type="dxa"/>
                </w:tcPr>
                <w:p>
                  <w:pPr>
                    <w:shd w:val="clear" w:color="auto" w:fill="C7DAF1" w:themeFill="text2" w:themeFillTint="32"/>
                    <w:jc w:val="left"/>
                    <w:rPr>
                      <w:rFonts w:hint="eastAsia" w:ascii="Times New Roman" w:hAnsi="Times New Roman" w:eastAsia="宋体" w:cs="Times New Roman"/>
                      <w:lang w:eastAsia="zh-CN"/>
                    </w:rPr>
                  </w:pPr>
                </w:p>
              </w:tc>
              <w:tc>
                <w:tcPr>
                  <w:tcW w:w="3265" w:type="dxa"/>
                </w:tcPr>
                <w:p>
                  <w:pPr>
                    <w:shd w:val="clear" w:color="auto" w:fill="C7DAF1" w:themeFill="text2" w:themeFillTint="32"/>
                    <w:jc w:val="left"/>
                    <w:rPr>
                      <w:rFonts w:hint="eastAsia"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pStyle w:val="2"/>
                    <w:rPr>
                      <w:rFonts w:hint="eastAsia" w:ascii="Times New Roman" w:hAnsi="Times New Roman" w:eastAsia="宋体" w:cs="Times New Roman"/>
                      <w:lang w:eastAsia="zh-CN"/>
                    </w:rPr>
                  </w:pPr>
                </w:p>
              </w:tc>
              <w:tc>
                <w:tcPr>
                  <w:tcW w:w="3665" w:type="dxa"/>
                </w:tcPr>
                <w:p>
                  <w:pPr>
                    <w:shd w:val="clear" w:color="auto" w:fill="C7DAF1" w:themeFill="text2" w:themeFillTint="32"/>
                    <w:jc w:val="left"/>
                    <w:rPr>
                      <w:rFonts w:hint="eastAsia" w:ascii="Times New Roman" w:hAnsi="Times New Roman" w:eastAsia="宋体" w:cs="Times New Roman"/>
                      <w:lang w:val="en-US" w:eastAsia="zh-CN"/>
                    </w:rPr>
                  </w:pP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p>
              </w:tc>
            </w:tr>
          </w:tbl>
          <w:p>
            <w:pPr>
              <w:shd w:val="clear" w:color="auto" w:fill="C7DAF1" w:themeFill="text2" w:themeFillTint="32"/>
              <w:jc w:val="left"/>
            </w:pPr>
          </w:p>
          <w:p>
            <w:pPr>
              <w:shd w:val="clear" w:color="auto" w:fill="C7DAF1" w:themeFill="text2" w:themeFillTint="32"/>
              <w:jc w:val="left"/>
              <w:rPr>
                <w:highlight w:val="none"/>
              </w:rPr>
            </w:pPr>
            <w:r>
              <w:rPr>
                <w:rFonts w:hint="eastAsia"/>
                <w:highlight w:val="none"/>
              </w:rPr>
              <w:t>需要确认的过程：</w:t>
            </w:r>
            <w:r>
              <w:rPr>
                <w:rFonts w:hint="eastAsia"/>
                <w:highlight w:val="none"/>
                <w:lang w:val="en-US" w:eastAsia="zh-CN"/>
              </w:rPr>
              <w:t>无</w:t>
            </w:r>
          </w:p>
          <w:p>
            <w:pPr>
              <w:shd w:val="clear" w:color="auto" w:fill="C7DAF1" w:themeFill="text2" w:themeFillTint="32"/>
              <w:jc w:val="left"/>
            </w:pPr>
            <w:r>
              <w:rPr>
                <w:rFonts w:hint="eastAsia" w:ascii="Wingdings" w:hAnsi="Wingdings"/>
                <w:highlight w:val="none"/>
                <w:lang w:eastAsia="zh-CN"/>
              </w:rPr>
              <w:sym w:font="Wingdings 2" w:char="00A3"/>
            </w:r>
            <w:r>
              <w:rPr>
                <w:rFonts w:hint="eastAsia"/>
                <w:highlight w:val="none"/>
              </w:rPr>
              <w:t>进行了有效的确认</w:t>
            </w:r>
            <w:r>
              <w:rPr>
                <w:rFonts w:hint="eastAsia" w:ascii="Wingdings" w:hAnsi="Wingdings"/>
                <w:highlight w:val="none"/>
                <w:lang w:eastAsia="zh-CN"/>
              </w:rPr>
              <w:t>□</w:t>
            </w:r>
            <w:r>
              <w:rPr>
                <w:rFonts w:hint="eastAsia"/>
                <w:highlight w:val="none"/>
              </w:rPr>
              <w:t>存在不足，说</w:t>
            </w:r>
            <w:r>
              <w:rPr>
                <w:rFonts w:hint="eastAsia"/>
              </w:rPr>
              <w:t>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A3"/>
            </w:r>
            <w:r>
              <w:rPr>
                <w:rFonts w:hint="eastAsia"/>
              </w:rPr>
              <w:t>原材料</w:t>
            </w:r>
            <w:r>
              <w:rPr>
                <w:rFonts w:hint="eastAsia" w:ascii="Wingdings" w:hAnsi="Wingdings"/>
                <w:lang w:eastAsia="zh-CN"/>
              </w:rPr>
              <w:sym w:font="Wingdings 2" w:char="00A3"/>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sym w:font="Wingdings 2" w:char="00A3"/>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sym w:font="Wingdings 2" w:char="00A3"/>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default" w:eastAsia="宋体"/>
                <w:lang w:val="en-US" w:eastAsia="zh-CN"/>
              </w:rPr>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sym w:font="Wingdings 2" w:char="00A3"/>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4-5</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法律法规□技术□竞争□市场□文化□社会□经济环境</w:t>
                  </w:r>
                </w:p>
                <w:p>
                  <w:pPr>
                    <w:shd w:val="clear" w:color="auto" w:fill="EBF1DE" w:themeFill="accent3" w:themeFillTint="32"/>
                  </w:pPr>
                  <w:r>
                    <w:rPr>
                      <w:rFonts w:hint="eastAsia"/>
                    </w:rPr>
                    <w:sym w:font="Wingdings 2" w:char="0052"/>
                  </w:r>
                  <w:r>
                    <w:rPr>
                      <w:rFonts w:hint="eastAsia"/>
                    </w:rPr>
                    <w:t>政治□监管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价值观□文化□知识</w:t>
                  </w:r>
                  <w:r>
                    <w:rPr>
                      <w:rFonts w:hint="eastAsia"/>
                    </w:rPr>
                    <w:sym w:font="Wingdings 2" w:char="0052"/>
                  </w:r>
                  <w:r>
                    <w:rPr>
                      <w:rFonts w:hint="eastAsia"/>
                    </w:rPr>
                    <w:t>绩效□工艺□设备□人员能力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危险废物处置□消防检测</w:t>
            </w:r>
            <w:r>
              <w:rPr>
                <w:rFonts w:hint="eastAsia"/>
              </w:rPr>
              <w:sym w:font="Wingdings 2" w:char="00A3"/>
            </w:r>
            <w:r>
              <w:rPr>
                <w:rFonts w:hint="eastAsia"/>
              </w:rPr>
              <w:t>生产/服务过程</w:t>
            </w:r>
            <w:r>
              <w:rPr>
                <w:rFonts w:hint="eastAsia"/>
              </w:rPr>
              <w:sym w:font="Wingdings 2" w:char="00A3"/>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pStyle w:val="14"/>
              <w:rPr>
                <w:rFonts w:hint="eastAsia"/>
              </w:rPr>
            </w:pPr>
            <w:r>
              <w:rPr>
                <w:rFonts w:hint="eastAsia"/>
              </w:rPr>
              <w:t>技术领航，顾客满意；节能降耗，保护环境；</w:t>
            </w:r>
          </w:p>
          <w:p>
            <w:pPr>
              <w:pStyle w:val="14"/>
              <w:rPr>
                <w:rFonts w:hint="eastAsia"/>
              </w:rPr>
            </w:pPr>
            <w:r>
              <w:rPr>
                <w:rFonts w:hint="eastAsia"/>
              </w:rPr>
              <w:t>健康安全，诚信守法；规范管理，持续改进。</w:t>
            </w:r>
          </w:p>
          <w:p>
            <w:pPr>
              <w:shd w:val="clear" w:color="auto" w:fill="EBF1DE" w:themeFill="accent3" w:themeFillTint="32"/>
              <w:rPr>
                <w:rFonts w:hint="eastAsia"/>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各部门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市场价格风险、资金风险、产品质量控制风险、品牌风险以及外部良好政策扶持机遇</w:t>
                  </w:r>
                  <w:r>
                    <w:rPr>
                      <w:rFonts w:hint="eastAsia"/>
                    </w:rPr>
                    <w:tab/>
                  </w:r>
                </w:p>
              </w:tc>
              <w:tc>
                <w:tcPr>
                  <w:tcW w:w="3965" w:type="dxa"/>
                </w:tcPr>
                <w:p>
                  <w:pPr>
                    <w:shd w:val="clear" w:color="auto" w:fill="EBF1DE" w:themeFill="accent3" w:themeFillTint="32"/>
                    <w:spacing w:line="270" w:lineRule="exact"/>
                    <w:rPr>
                      <w:rFonts w:hint="eastAsia"/>
                    </w:rPr>
                  </w:pPr>
                  <w:r>
                    <w:rPr>
                      <w:rFonts w:hint="eastAsia"/>
                    </w:rPr>
                    <w:t>1.主要职能部门按照要求定期收集评法律法规  </w:t>
                  </w:r>
                </w:p>
                <w:p>
                  <w:pPr>
                    <w:shd w:val="clear" w:color="auto" w:fill="EBF1DE" w:themeFill="accent3" w:themeFillTint="32"/>
                    <w:spacing w:line="270" w:lineRule="exact"/>
                    <w:rPr>
                      <w:rFonts w:hint="eastAsia"/>
                    </w:rPr>
                  </w:pPr>
                  <w:r>
                    <w:rPr>
                      <w:rFonts w:hint="eastAsia"/>
                    </w:rPr>
                    <w:t>2.销售部门加大市场开拓</w:t>
                  </w:r>
                </w:p>
                <w:p>
                  <w:pPr>
                    <w:shd w:val="clear" w:color="auto" w:fill="EBF1DE" w:themeFill="accent3" w:themeFillTint="32"/>
                    <w:spacing w:line="270" w:lineRule="exact"/>
                    <w:rPr>
                      <w:rFonts w:hint="eastAsia"/>
                    </w:rPr>
                  </w:pPr>
                  <w:r>
                    <w:rPr>
                      <w:rFonts w:hint="eastAsia"/>
                    </w:rPr>
                    <w:t>等等</w:t>
                  </w:r>
                </w:p>
                <w:p>
                  <w:pPr>
                    <w:shd w:val="clear" w:color="auto" w:fill="EBF1DE" w:themeFill="accent3" w:themeFillTint="32"/>
                    <w:spacing w:line="270" w:lineRule="exact"/>
                  </w:pPr>
                  <w:r>
                    <w:rPr>
                      <w:rFonts w:hint="eastAsia"/>
                    </w:rPr>
                    <w:tab/>
                  </w:r>
                </w:p>
              </w:tc>
              <w:tc>
                <w:tcPr>
                  <w:tcW w:w="1717" w:type="dxa"/>
                </w:tcPr>
                <w:p>
                  <w:pPr>
                    <w:shd w:val="clear" w:color="auto" w:fill="EBF1DE" w:themeFill="accent3" w:themeFillTint="32"/>
                    <w:rPr>
                      <w:rFonts w:hint="default" w:eastAsia="宋体"/>
                      <w:lang w:val="en-US" w:eastAsia="zh-CN"/>
                    </w:rPr>
                  </w:pPr>
                  <w:r>
                    <w:rPr>
                      <w:rFonts w:hint="eastAsia"/>
                    </w:rPr>
                    <w:tab/>
                  </w: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rPr>
              <w:sym w:font="Wingdings 2" w:char="00A3"/>
            </w:r>
            <w:r>
              <w:rPr>
                <w:rFonts w:hint="eastAsia"/>
              </w:rPr>
              <w:t>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keepNext w:val="0"/>
              <w:keepLines w:val="0"/>
              <w:widowControl/>
              <w:suppressLineNumbers w:val="0"/>
              <w:jc w:val="left"/>
            </w:pPr>
            <w:bookmarkStart w:id="34" w:name="OLE_LINK2"/>
            <w:r>
              <w:rPr>
                <w:rFonts w:hint="eastAsia"/>
              </w:rPr>
              <w:sym w:font="Wingdings 2" w:char="0052"/>
            </w:r>
            <w:r>
              <w:rPr>
                <w:rFonts w:hint="eastAsia"/>
              </w:rPr>
              <w:t>排污</w:t>
            </w:r>
            <w:bookmarkEnd w:id="34"/>
            <w:r>
              <w:rPr>
                <w:rFonts w:hint="eastAsia"/>
              </w:rPr>
              <w:t>许可证编号：排污登记编号:</w:t>
            </w:r>
            <w:r>
              <w:rPr>
                <w:rFonts w:hint="eastAsia" w:ascii="微软雅黑" w:hAnsi="微软雅黑" w:eastAsia="微软雅黑" w:cs="微软雅黑"/>
                <w:color w:val="000000"/>
                <w:kern w:val="0"/>
                <w:sz w:val="22"/>
                <w:szCs w:val="22"/>
                <w:lang w:val="en-US" w:eastAsia="zh-CN" w:bidi="ar"/>
              </w:rPr>
              <w:t>9142108333188500x9001W</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环境影响登记表日期：</w:t>
            </w:r>
            <w:r>
              <w:rPr>
                <w:rFonts w:hint="eastAsia"/>
                <w:lang w:val="en-US" w:eastAsia="zh-CN"/>
              </w:rPr>
              <w:t>2022.7.</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pStyle w:val="8"/>
              <w:spacing w:line="360" w:lineRule="auto"/>
              <w:rPr>
                <w:highlight w:val="cyan"/>
              </w:rPr>
            </w:pPr>
            <w:r>
              <w:rPr>
                <w:rFonts w:hint="eastAsia"/>
              </w:rPr>
              <w:sym w:font="Wingdings 2" w:char="00A3"/>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rPr>
                  </w:pPr>
                  <w:r>
                    <w:rPr>
                      <w:rFonts w:hint="eastAsia" w:ascii="楷体" w:hAnsi="楷体" w:eastAsia="楷体" w:cs="宋体"/>
                      <w:b/>
                      <w:kern w:val="0"/>
                      <w:sz w:val="28"/>
                      <w:szCs w:val="28"/>
                    </w:rPr>
                    <w:t xml:space="preserve"> </w:t>
                  </w:r>
                  <w:r>
                    <w:rPr>
                      <w:rFonts w:hint="eastAsia"/>
                    </w:rPr>
                    <w:t>生产中噪声、粉尘达标排放；</w:t>
                  </w:r>
                </w:p>
                <w:p>
                  <w:pPr>
                    <w:spacing w:line="300" w:lineRule="exact"/>
                    <w:jc w:val="left"/>
                  </w:pP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管理方案、运行控制</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lang w:val="en-US" w:eastAsia="zh-CN"/>
              </w:rPr>
              <w:t>总面积43344.34m2，办公300</w:t>
            </w:r>
            <w:r>
              <w:rPr>
                <w:rFonts w:hint="eastAsia"/>
              </w:rPr>
              <w:t>平方米；生产车间</w:t>
            </w:r>
            <w:r>
              <w:rPr>
                <w:rFonts w:hint="eastAsia"/>
                <w:lang w:val="en-US" w:eastAsia="zh-CN"/>
              </w:rPr>
              <w:t xml:space="preserve"> 平</w:t>
            </w:r>
            <w:r>
              <w:rPr>
                <w:rFonts w:hint="eastAsia"/>
              </w:rPr>
              <w:t>；库房</w:t>
            </w:r>
            <w:r>
              <w:rPr>
                <w:rFonts w:hint="eastAsia"/>
                <w:lang w:val="en-US" w:eastAsia="zh-CN"/>
              </w:rPr>
              <w:t>3</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垃圾箱、废油存放桶</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A3"/>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A3"/>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sym w:font="Wingdings 2" w:char="00A3"/>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highlight w:val="none"/>
              </w:rPr>
              <w:t>计量器具的</w:t>
            </w:r>
            <w:r>
              <w:rPr>
                <w:highlight w:val="none"/>
              </w:rPr>
              <w:t>测量溯源</w:t>
            </w:r>
            <w:r>
              <w:rPr>
                <w:rFonts w:hint="eastAsia"/>
                <w:highlight w:val="none"/>
              </w:rPr>
              <w:t>方法</w:t>
            </w:r>
            <w:r>
              <w:rPr>
                <w:rFonts w:hint="eastAsia"/>
              </w:rPr>
              <w:t>：</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A3"/>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sym w:font="Wingdings 2" w:char="00A3"/>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A3"/>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rPr>
            </w:pPr>
            <w:r>
              <w:rPr>
                <w:rFonts w:hint="eastAsia"/>
              </w:rPr>
              <w:t>审核期间内，设计和开发新产品/项目名称：</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A3"/>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A3"/>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lang w:val="en-US" w:eastAsia="zh-CN"/>
                    </w:rPr>
                    <w:t>沉淀池循环使用、管理方案、运行控制</w:t>
                  </w:r>
                </w:p>
              </w:tc>
              <w:tc>
                <w:tcPr>
                  <w:tcW w:w="3265" w:type="dxa"/>
                </w:tcPr>
                <w:p>
                  <w:pPr>
                    <w:shd w:val="clear" w:color="auto" w:fill="EBF1DE" w:themeFill="accent3" w:themeFillTint="32"/>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lang w:val="en-US"/>
                    </w:rPr>
                  </w:pPr>
                </w:p>
              </w:tc>
              <w:tc>
                <w:tcPr>
                  <w:tcW w:w="3265" w:type="dxa"/>
                </w:tcPr>
                <w:p>
                  <w:pPr>
                    <w:shd w:val="clear" w:color="auto" w:fill="EBF1DE" w:themeFill="accent3"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lang w:val="en-US" w:eastAsia="zh-CN"/>
                    </w:rPr>
                    <w:t>设备降噪，管理方案、运行控制</w:t>
                  </w:r>
                </w:p>
              </w:tc>
              <w:tc>
                <w:tcPr>
                  <w:tcW w:w="3265" w:type="dxa"/>
                </w:tcPr>
                <w:p>
                  <w:pPr>
                    <w:shd w:val="clear" w:color="auto" w:fill="EBF1DE" w:themeFill="accent3" w:themeFillTint="32"/>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lang w:val="en-US" w:eastAsia="zh-CN"/>
                    </w:rPr>
                    <w:t>管理方案、运行控制</w:t>
                  </w:r>
                </w:p>
              </w:tc>
              <w:tc>
                <w:tcPr>
                  <w:tcW w:w="3265" w:type="dxa"/>
                </w:tcPr>
                <w:p>
                  <w:pPr>
                    <w:shd w:val="clear" w:color="auto" w:fill="EBF1DE" w:themeFill="accent3" w:themeFillTint="32"/>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设备降尘、管理方案、运行控制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lang w:val="en-US"/>
                    </w:rPr>
                  </w:pPr>
                  <w:r>
                    <w:rPr>
                      <w:rFonts w:hint="eastAsia"/>
                      <w:lang w:val="en-US" w:eastAsia="zh-CN"/>
                    </w:rPr>
                    <w:t>管理方案、运行控制、应急预案</w:t>
                  </w:r>
                </w:p>
              </w:tc>
              <w:tc>
                <w:tcPr>
                  <w:tcW w:w="3265" w:type="dxa"/>
                </w:tcPr>
                <w:p>
                  <w:pPr>
                    <w:shd w:val="clear" w:color="auto" w:fill="EBF1DE" w:themeFill="accent3" w:themeFillTint="32"/>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eastAsia" w:eastAsia="宋体"/>
                <w:lang w:eastAsia="zh-CN"/>
              </w:rPr>
            </w:pPr>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22</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A3"/>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rFonts w:hint="default" w:eastAsia="宋体"/>
                <w:lang w:val="en-US" w:eastAsia="zh-CN"/>
              </w:rPr>
            </w:pPr>
            <w:r>
              <w:rPr>
                <w:rFonts w:hint="eastAsia"/>
              </w:rPr>
              <w:t>《环境监测报告》编号：</w:t>
            </w:r>
            <w:r>
              <w:rPr>
                <w:rFonts w:hint="eastAsia"/>
                <w:lang w:val="en-US" w:eastAsia="zh-CN"/>
              </w:rPr>
              <w:t>监测报告过期，已开具不符合</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4-5</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价值观□文化□知识</w:t>
                  </w:r>
                  <w:r>
                    <w:rPr>
                      <w:rFonts w:hint="eastAsia"/>
                    </w:rPr>
                    <w:sym w:font="Wingdings 2" w:char="0052"/>
                  </w:r>
                  <w:r>
                    <w:rPr>
                      <w:rFonts w:hint="eastAsia"/>
                    </w:rPr>
                    <w:t>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危险废物处置□消防检测</w:t>
            </w:r>
            <w:r>
              <w:rPr>
                <w:rFonts w:hint="eastAsia"/>
              </w:rPr>
              <w:sym w:font="Wingdings 2" w:char="0052"/>
            </w:r>
            <w:r>
              <w:rPr>
                <w:rFonts w:hint="eastAsia"/>
              </w:rPr>
              <w:t>生产/服务过程</w:t>
            </w:r>
            <w:r>
              <w:rPr>
                <w:rFonts w:hint="eastAsia"/>
              </w:rPr>
              <w:sym w:font="Wingdings 2" w:char="0052"/>
            </w:r>
            <w:r>
              <w:rPr>
                <w:rFonts w:hint="eastAsia"/>
              </w:rPr>
              <w:t>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360" w:lineRule="auto"/>
              <w:jc w:val="both"/>
              <w:rPr>
                <w:rStyle w:val="12"/>
                <w:rFonts w:ascii="楷体" w:hAnsi="楷体" w:eastAsia="楷体"/>
                <w:color w:val="000000"/>
                <w:sz w:val="28"/>
                <w:szCs w:val="28"/>
              </w:rPr>
            </w:pPr>
            <w:r>
              <w:rPr>
                <w:rStyle w:val="12"/>
                <w:rFonts w:hint="eastAsia" w:ascii="楷体" w:hAnsi="楷体" w:eastAsia="楷体"/>
                <w:color w:val="000000"/>
                <w:sz w:val="28"/>
                <w:szCs w:val="28"/>
              </w:rPr>
              <w:t>技术领航，顾客满意；节能降耗，保护环境；</w:t>
            </w:r>
          </w:p>
          <w:p>
            <w:pPr>
              <w:spacing w:line="360" w:lineRule="auto"/>
              <w:jc w:val="both"/>
              <w:rPr>
                <w:rFonts w:hint="eastAsia" w:ascii="楷体" w:hAnsi="楷体" w:eastAsia="楷体"/>
                <w:b/>
                <w:sz w:val="28"/>
                <w:szCs w:val="28"/>
                <w:lang w:eastAsia="zh-CN"/>
              </w:rPr>
            </w:pPr>
            <w:r>
              <w:rPr>
                <w:rStyle w:val="12"/>
                <w:rFonts w:hint="eastAsia" w:ascii="楷体" w:hAnsi="楷体" w:eastAsia="楷体"/>
                <w:color w:val="000000"/>
                <w:sz w:val="28"/>
                <w:szCs w:val="28"/>
              </w:rPr>
              <w:t>健康安全，诚信守法；规范管理，持续改进</w:t>
            </w:r>
            <w:r>
              <w:rPr>
                <w:rStyle w:val="12"/>
                <w:rFonts w:hint="eastAsia" w:ascii="楷体" w:hAnsi="楷体" w:eastAsia="楷体"/>
                <w:color w:val="000000"/>
                <w:sz w:val="28"/>
                <w:szCs w:val="28"/>
                <w:lang w:eastAsia="zh-CN"/>
              </w:rPr>
              <w:t>。</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eastAsia="宋体" w:cs="宋体"/>
                <w:i w:val="0"/>
                <w:color w:val="000000"/>
                <w:kern w:val="0"/>
                <w:sz w:val="21"/>
                <w:szCs w:val="21"/>
                <w:highlight w:val="none"/>
                <w:u w:val="single"/>
                <w:lang w:val="en-US" w:eastAsia="zh-CN" w:bidi="ar"/>
              </w:rPr>
              <w:t>甘方荣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270" w:lineRule="exact"/>
                  </w:pPr>
                  <w:r>
                    <w:rPr>
                      <w:rFonts w:hint="eastAsia"/>
                    </w:rPr>
                    <w:t>市场价格风险、资金风险、产品质量控制风险、品牌风险以及外部良好政策扶持机遇</w:t>
                  </w:r>
                  <w:r>
                    <w:rPr>
                      <w:rFonts w:hint="eastAsia"/>
                    </w:rPr>
                    <w:tab/>
                  </w:r>
                </w:p>
              </w:tc>
              <w:tc>
                <w:tcPr>
                  <w:tcW w:w="3965" w:type="dxa"/>
                </w:tcPr>
                <w:p>
                  <w:pPr>
                    <w:pStyle w:val="14"/>
                    <w:numPr>
                      <w:ilvl w:val="0"/>
                      <w:numId w:val="0"/>
                    </w:numPr>
                    <w:rPr>
                      <w:rFonts w:hint="eastAsia"/>
                      <w:lang w:val="en-US" w:eastAsia="zh-CN"/>
                    </w:rPr>
                  </w:pPr>
                  <w:r>
                    <w:rPr>
                      <w:rFonts w:hint="eastAsia"/>
                      <w:lang w:val="en-US" w:eastAsia="zh-CN"/>
                    </w:rPr>
                    <w:t>1、主要职能部门按照要求定期收集评法律法规  </w:t>
                  </w:r>
                </w:p>
                <w:p>
                  <w:pPr>
                    <w:pStyle w:val="14"/>
                    <w:numPr>
                      <w:ilvl w:val="0"/>
                      <w:numId w:val="0"/>
                    </w:numPr>
                    <w:rPr>
                      <w:rFonts w:hint="eastAsia"/>
                      <w:lang w:val="en-US" w:eastAsia="zh-CN"/>
                    </w:rPr>
                  </w:pPr>
                  <w:r>
                    <w:rPr>
                      <w:rFonts w:hint="eastAsia"/>
                      <w:lang w:val="en-US" w:eastAsia="zh-CN"/>
                    </w:rPr>
                    <w:t>2、销售部门加大市场开拓</w:t>
                  </w:r>
                </w:p>
                <w:p>
                  <w:pPr>
                    <w:spacing w:line="270" w:lineRule="exact"/>
                  </w:pP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w:t>
            </w:r>
            <w:r>
              <w:rPr>
                <w:rFonts w:hint="eastAsia"/>
              </w:rPr>
              <w:sym w:font="Wingdings 2" w:char="0052"/>
            </w:r>
            <w:r>
              <w:rPr>
                <w:rFonts w:hint="eastAsia"/>
              </w:rPr>
              <w:t>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sym w:font="Wingdings 2" w:char="00A3"/>
            </w:r>
            <w:r>
              <w:rPr>
                <w:rFonts w:hint="eastAsia"/>
              </w:rPr>
              <w:t>职</w:t>
            </w:r>
            <w:r>
              <w:rPr>
                <w:rFonts w:hint="eastAsia"/>
                <w:highlight w:val="none"/>
              </w:rPr>
              <w:t>业病体检报告书日期</w:t>
            </w:r>
            <w:r>
              <w:rPr>
                <w:rFonts w:hint="eastAsia"/>
              </w:rPr>
              <w:t>：</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A3"/>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sym w:font="Wingdings 2" w:char="0052"/>
            </w:r>
            <w:r>
              <w:rPr>
                <w:rFonts w:hint="eastAsia"/>
              </w:rPr>
              <w:t>危化品控制</w:t>
            </w: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600" w:lineRule="exact"/>
                    <w:ind w:firstLine="723" w:firstLineChars="300"/>
                    <w:jc w:val="left"/>
                  </w:pPr>
                  <w:r>
                    <w:rPr>
                      <w:rFonts w:hint="eastAsia" w:ascii="仿宋" w:hAnsi="仿宋" w:eastAsia="仿宋" w:cs="仿宋"/>
                      <w:b/>
                      <w:bCs/>
                      <w:color w:val="000000"/>
                      <w:sz w:val="24"/>
                      <w:szCs w:val="24"/>
                    </w:rPr>
                    <w:t>1 劳动保护用品及时发放，发放率为100％ 。</w:t>
                  </w:r>
                </w:p>
              </w:tc>
              <w:tc>
                <w:tcPr>
                  <w:tcW w:w="3136" w:type="dxa"/>
                  <w:shd w:val="clear" w:color="auto" w:fill="auto"/>
                  <w:vAlign w:val="center"/>
                </w:tcPr>
                <w:p>
                  <w:pPr>
                    <w:rPr>
                      <w:lang w:val="en-GB"/>
                    </w:rPr>
                  </w:pPr>
                  <w:r>
                    <w:rPr>
                      <w:rFonts w:hint="eastAsia"/>
                      <w:sz w:val="21"/>
                      <w:szCs w:val="21"/>
                      <w:lang w:val="en-US" w:eastAsia="zh-CN"/>
                    </w:rPr>
                    <w:t>职业健康安全目标指标管理方案；运行控制；</w:t>
                  </w:r>
                </w:p>
              </w:tc>
              <w:tc>
                <w:tcPr>
                  <w:tcW w:w="1350" w:type="dxa"/>
                  <w:shd w:val="clear" w:color="auto" w:fill="auto"/>
                  <w:vAlign w:val="center"/>
                </w:tcPr>
                <w:p>
                  <w:pPr>
                    <w:rPr>
                      <w:rFonts w:hint="default" w:eastAsia="宋体"/>
                      <w:lang w:val="en-US" w:eastAsia="zh-CN"/>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600" w:lineRule="exact"/>
                    <w:ind w:firstLine="723" w:firstLineChars="300"/>
                    <w:jc w:val="left"/>
                  </w:pPr>
                  <w:r>
                    <w:rPr>
                      <w:rFonts w:hint="eastAsia" w:ascii="仿宋" w:hAnsi="仿宋" w:eastAsia="仿宋" w:cs="仿宋"/>
                      <w:b/>
                      <w:bCs/>
                      <w:color w:val="000000"/>
                      <w:sz w:val="24"/>
                      <w:szCs w:val="24"/>
                    </w:rPr>
                    <w:t xml:space="preserve">  2 预防职业病，病发率为零。</w:t>
                  </w:r>
                </w:p>
              </w:tc>
              <w:tc>
                <w:tcPr>
                  <w:tcW w:w="3136" w:type="dxa"/>
                  <w:shd w:val="clear" w:color="auto" w:fill="auto"/>
                  <w:vAlign w:val="center"/>
                </w:tcPr>
                <w:p>
                  <w:pPr>
                    <w:rPr>
                      <w:rFonts w:hint="default" w:ascii="宋体" w:hAnsi="宋体"/>
                      <w:lang w:val="en-US"/>
                    </w:rPr>
                  </w:pPr>
                  <w:r>
                    <w:rPr>
                      <w:rFonts w:hint="eastAsia"/>
                      <w:sz w:val="21"/>
                      <w:szCs w:val="21"/>
                      <w:lang w:val="en-US" w:eastAsia="zh-CN"/>
                    </w:rPr>
                    <w:t>职业健康安全目标指标管理方案；运行控制；</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600" w:lineRule="exact"/>
                    <w:ind w:firstLine="723" w:firstLineChars="300"/>
                  </w:pPr>
                  <w:r>
                    <w:rPr>
                      <w:rFonts w:hint="eastAsia" w:ascii="仿宋" w:hAnsi="仿宋" w:eastAsia="仿宋" w:cs="仿宋"/>
                      <w:b/>
                      <w:bCs/>
                      <w:color w:val="000000"/>
                      <w:sz w:val="24"/>
                      <w:szCs w:val="24"/>
                    </w:rPr>
                    <w:t xml:space="preserve">  3安全事故零发生。</w:t>
                  </w:r>
                </w:p>
              </w:tc>
              <w:tc>
                <w:tcPr>
                  <w:tcW w:w="3136"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sz w:val="21"/>
                      <w:szCs w:val="21"/>
                      <w:lang w:val="en-US" w:eastAsia="zh-CN"/>
                    </w:rPr>
                    <w:t>职业健康安全目标指标管理方案；运行控制；应急预案及演练</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lang w:val="en-US" w:eastAsia="zh-CN"/>
              </w:rPr>
              <w:t>总面积43344.34m2，办公300</w:t>
            </w:r>
            <w:r>
              <w:rPr>
                <w:rFonts w:hint="eastAsia"/>
              </w:rPr>
              <w:t>平方米；生产车间</w:t>
            </w:r>
            <w:r>
              <w:rPr>
                <w:rFonts w:hint="eastAsia"/>
                <w:lang w:val="en-US" w:eastAsia="zh-CN"/>
              </w:rPr>
              <w:t xml:space="preserve"> 平</w:t>
            </w:r>
            <w:r>
              <w:rPr>
                <w:rFonts w:hint="eastAsia"/>
              </w:rPr>
              <w:t>；库房</w:t>
            </w:r>
            <w:r>
              <w:rPr>
                <w:rFonts w:hint="eastAsia"/>
                <w:lang w:val="en-US" w:eastAsia="zh-CN"/>
              </w:rPr>
              <w:t>3</w:t>
            </w:r>
            <w:r>
              <w:rPr>
                <w:rFonts w:hint="eastAsia"/>
              </w:rPr>
              <w:t>个；实验室</w:t>
            </w:r>
            <w:r>
              <w:rPr>
                <w:rFonts w:hint="eastAsia"/>
                <w:lang w:val="en-US" w:eastAsia="zh-CN"/>
              </w:rPr>
              <w:t>1</w:t>
            </w:r>
            <w:r>
              <w:rPr>
                <w:rFonts w:hint="eastAsia"/>
              </w:rPr>
              <w:t>个</w:t>
            </w:r>
          </w:p>
          <w:p>
            <w:pPr>
              <w:rPr>
                <w:u w:val="single"/>
              </w:rPr>
            </w:pPr>
            <w:r>
              <w:rPr>
                <w:rFonts w:hint="eastAsia"/>
              </w:rPr>
              <w:t>主要生产设备有：</w:t>
            </w:r>
          </w:p>
          <w:p>
            <w:pPr>
              <w:rPr>
                <w:rFonts w:hint="default" w:eastAsia="宋体"/>
                <w:lang w:val="en-US" w:eastAsia="zh-CN"/>
              </w:rPr>
            </w:pPr>
            <w:r>
              <w:rPr>
                <w:rFonts w:hint="eastAsia"/>
              </w:rPr>
              <w:t>主要安全装置有：</w:t>
            </w:r>
            <w:r>
              <w:rPr>
                <w:rFonts w:hint="eastAsia"/>
                <w:lang w:val="en-US" w:eastAsia="zh-CN"/>
              </w:rPr>
              <w:t>安全阀，未定期检定，已开具不符合。</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sym w:font="Wingdings 2" w:char="00A3"/>
            </w:r>
            <w:r>
              <w:rPr>
                <w:rFonts w:hint="eastAsia"/>
              </w:rPr>
              <w:t>不适用</w:t>
            </w:r>
          </w:p>
          <w:p>
            <w:pPr>
              <w:rPr>
                <w:u w:val="single"/>
              </w:rPr>
            </w:pPr>
          </w:p>
          <w:p>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sym w:font="Wingdings 2" w:char="00A3"/>
            </w:r>
            <w:r>
              <w:rPr>
                <w:rFonts w:hint="eastAsia"/>
              </w:rPr>
              <w:t>危化品库</w:t>
            </w:r>
          </w:p>
          <w:p>
            <w:pPr>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rFonts w:hint="default" w:eastAsia="宋体"/>
                <w:u w:val="single"/>
                <w:lang w:val="en-US" w:eastAsia="zh-CN"/>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sym w:font="Wingdings 2" w:char="0052"/>
            </w:r>
            <w:r>
              <w:rPr>
                <w:rFonts w:hint="eastAsia"/>
              </w:rPr>
              <w:t>未进行定期校准/检定的有：</w:t>
            </w:r>
            <w:r>
              <w:rPr>
                <w:rFonts w:hint="eastAsia"/>
                <w:lang w:val="en-US" w:eastAsia="zh-CN"/>
              </w:rPr>
              <w:t>压力表，已开具不符合。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A3"/>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sym w:font="Wingdings 2" w:char="00A3"/>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sym w:font="Wingdings 2" w:char="00A3"/>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A3"/>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eastAsia="宋体"/>
                <w:lang w:eastAsia="zh-CN"/>
              </w:rPr>
            </w:pPr>
            <w:r>
              <w:rPr>
                <w:rFonts w:hint="eastAsia"/>
              </w:rPr>
              <w:t>审核期间内，设计和开发新产品/项目名称：</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A3"/>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w:t>
                  </w: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管理方案、运行控制、应急演练</w:t>
                  </w: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3</w:t>
            </w:r>
            <w:bookmarkStart w:id="35" w:name="_GoBack"/>
            <w:bookmarkEnd w:id="35"/>
            <w:r>
              <w:rPr>
                <w:rFonts w:hint="eastAsia"/>
                <w:lang w:val="en-US" w:eastAsia="zh-CN"/>
              </w:rPr>
              <w:t>0</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22</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《职业病体检》编号：职健字第2206160001号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4-5</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4"/>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pStyle w:val="14"/>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FZKT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XBSJW--GB1-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5"/>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2201F"/>
    <w:multiLevelType w:val="singleLevel"/>
    <w:tmpl w:val="8B92201F"/>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NmYzZkNjY3OTU4NDczNmE2MzQyY2ZjMDNmYTJmNDMifQ=="/>
  </w:docVars>
  <w:rsids>
    <w:rsidRoot w:val="00000000"/>
    <w:rsid w:val="015B4FE6"/>
    <w:rsid w:val="02357474"/>
    <w:rsid w:val="023C0654"/>
    <w:rsid w:val="02831855"/>
    <w:rsid w:val="029F0F02"/>
    <w:rsid w:val="0317318F"/>
    <w:rsid w:val="042B502F"/>
    <w:rsid w:val="057A16C2"/>
    <w:rsid w:val="07D11DAE"/>
    <w:rsid w:val="08171CE3"/>
    <w:rsid w:val="08F17FDE"/>
    <w:rsid w:val="09CA7929"/>
    <w:rsid w:val="0A1130A4"/>
    <w:rsid w:val="0AF3003D"/>
    <w:rsid w:val="0B044AB8"/>
    <w:rsid w:val="10596B94"/>
    <w:rsid w:val="10C2298C"/>
    <w:rsid w:val="11D75A8D"/>
    <w:rsid w:val="135973CE"/>
    <w:rsid w:val="15B605E5"/>
    <w:rsid w:val="15E405E5"/>
    <w:rsid w:val="15E52C78"/>
    <w:rsid w:val="1764648F"/>
    <w:rsid w:val="181500CE"/>
    <w:rsid w:val="1BCD2A00"/>
    <w:rsid w:val="1CF739BD"/>
    <w:rsid w:val="1E86208D"/>
    <w:rsid w:val="21EF7359"/>
    <w:rsid w:val="22517328"/>
    <w:rsid w:val="22B932E5"/>
    <w:rsid w:val="22E449E3"/>
    <w:rsid w:val="24C70119"/>
    <w:rsid w:val="24DB1DE3"/>
    <w:rsid w:val="25627E42"/>
    <w:rsid w:val="258E0C37"/>
    <w:rsid w:val="261D5164"/>
    <w:rsid w:val="26243349"/>
    <w:rsid w:val="26E31456"/>
    <w:rsid w:val="284C002D"/>
    <w:rsid w:val="2B177397"/>
    <w:rsid w:val="2B2C517A"/>
    <w:rsid w:val="2B42499D"/>
    <w:rsid w:val="2D5F375D"/>
    <w:rsid w:val="2DA30834"/>
    <w:rsid w:val="2E864BA1"/>
    <w:rsid w:val="2F723E2B"/>
    <w:rsid w:val="300761B5"/>
    <w:rsid w:val="30425274"/>
    <w:rsid w:val="321B1AA4"/>
    <w:rsid w:val="332141D3"/>
    <w:rsid w:val="338B4FAA"/>
    <w:rsid w:val="36034D29"/>
    <w:rsid w:val="362A675A"/>
    <w:rsid w:val="36E96FA6"/>
    <w:rsid w:val="373158C6"/>
    <w:rsid w:val="37B409D1"/>
    <w:rsid w:val="384635F3"/>
    <w:rsid w:val="3B0638CD"/>
    <w:rsid w:val="3B874AF7"/>
    <w:rsid w:val="3D4B652C"/>
    <w:rsid w:val="3E985BD3"/>
    <w:rsid w:val="3FA51BF4"/>
    <w:rsid w:val="3FAD6156"/>
    <w:rsid w:val="418F63A1"/>
    <w:rsid w:val="41D91034"/>
    <w:rsid w:val="41F320F5"/>
    <w:rsid w:val="421829EA"/>
    <w:rsid w:val="436B17DC"/>
    <w:rsid w:val="4392593E"/>
    <w:rsid w:val="440C777A"/>
    <w:rsid w:val="47665118"/>
    <w:rsid w:val="481C529E"/>
    <w:rsid w:val="496E4757"/>
    <w:rsid w:val="49721FE9"/>
    <w:rsid w:val="49B727D9"/>
    <w:rsid w:val="49EC08ED"/>
    <w:rsid w:val="4A774A8C"/>
    <w:rsid w:val="4B663938"/>
    <w:rsid w:val="4CA7034B"/>
    <w:rsid w:val="4E5E6B06"/>
    <w:rsid w:val="4F5D5052"/>
    <w:rsid w:val="4FAD422B"/>
    <w:rsid w:val="4FE15C83"/>
    <w:rsid w:val="501327D6"/>
    <w:rsid w:val="51726C29"/>
    <w:rsid w:val="519A433C"/>
    <w:rsid w:val="531445C2"/>
    <w:rsid w:val="58421289"/>
    <w:rsid w:val="595E0345"/>
    <w:rsid w:val="5A9A3B0D"/>
    <w:rsid w:val="5AA20705"/>
    <w:rsid w:val="5CD4585D"/>
    <w:rsid w:val="5D395350"/>
    <w:rsid w:val="5ED30E8D"/>
    <w:rsid w:val="5FCD1D80"/>
    <w:rsid w:val="5FE408EB"/>
    <w:rsid w:val="638C6349"/>
    <w:rsid w:val="66BA3821"/>
    <w:rsid w:val="66BE2423"/>
    <w:rsid w:val="675F4E6C"/>
    <w:rsid w:val="67D7113E"/>
    <w:rsid w:val="68EE06D4"/>
    <w:rsid w:val="69A93706"/>
    <w:rsid w:val="69BF6BDD"/>
    <w:rsid w:val="69CE5517"/>
    <w:rsid w:val="6BF66063"/>
    <w:rsid w:val="6DFB0400"/>
    <w:rsid w:val="6E8379F2"/>
    <w:rsid w:val="6E9F02A9"/>
    <w:rsid w:val="6FF64FAC"/>
    <w:rsid w:val="70BF74C3"/>
    <w:rsid w:val="713B5190"/>
    <w:rsid w:val="743B3304"/>
    <w:rsid w:val="77AC7776"/>
    <w:rsid w:val="77BA4E88"/>
    <w:rsid w:val="78016613"/>
    <w:rsid w:val="795766F4"/>
    <w:rsid w:val="7A080935"/>
    <w:rsid w:val="7B345800"/>
    <w:rsid w:val="7B932741"/>
    <w:rsid w:val="7B95779E"/>
    <w:rsid w:val="7BEE5100"/>
    <w:rsid w:val="7CC8755A"/>
    <w:rsid w:val="7CFC55FB"/>
    <w:rsid w:val="7E7C4C45"/>
    <w:rsid w:val="7F362D06"/>
    <w:rsid w:val="7FC0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ind w:firstLine="720" w:firstLineChars="200"/>
    </w:pPr>
  </w:style>
  <w:style w:type="paragraph" w:styleId="3">
    <w:name w:val="Balloon Text"/>
    <w:basedOn w:val="1"/>
    <w:link w:val="18"/>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2"/>
    <w:qFormat/>
    <w:uiPriority w:val="0"/>
    <w:pPr>
      <w:ind w:firstLine="420" w:firstLineChars="100"/>
    </w:pPr>
    <w:rPr>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22"/>
    <w:rPr>
      <w:b/>
      <w:bCs/>
    </w:rPr>
  </w:style>
  <w:style w:type="character" w:styleId="13">
    <w:name w:val="Hyperlink"/>
    <w:basedOn w:val="11"/>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1"/>
    <w:link w:val="5"/>
    <w:qFormat/>
    <w:uiPriority w:val="99"/>
    <w:rPr>
      <w:rFonts w:ascii="Times New Roman" w:hAnsi="Times New Roman" w:eastAsia="宋体" w:cs="Times New Roman"/>
      <w:sz w:val="18"/>
      <w:szCs w:val="18"/>
    </w:rPr>
  </w:style>
  <w:style w:type="character" w:customStyle="1" w:styleId="17">
    <w:name w:val="页脚 Char"/>
    <w:basedOn w:val="11"/>
    <w:link w:val="4"/>
    <w:qFormat/>
    <w:uiPriority w:val="99"/>
    <w:rPr>
      <w:rFonts w:ascii="Times New Roman" w:hAnsi="Times New Roman" w:eastAsia="宋体" w:cs="Times New Roman"/>
      <w:sz w:val="18"/>
      <w:szCs w:val="18"/>
    </w:rPr>
  </w:style>
  <w:style w:type="character" w:customStyle="1" w:styleId="18">
    <w:name w:val="批注框文本 Char"/>
    <w:basedOn w:val="11"/>
    <w:link w:val="3"/>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19954</Words>
  <Characters>20993</Characters>
  <Lines>150</Lines>
  <Paragraphs>42</Paragraphs>
  <TotalTime>28</TotalTime>
  <ScaleCrop>false</ScaleCrop>
  <LinksUpToDate>false</LinksUpToDate>
  <CharactersWithSpaces>21145</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2022-12-11T05:46:35Z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2052-11.1.0.12132</vt:lpwstr>
  </property>
</Properties>
</file>