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奥朗斯铝业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02.00;17.04.02;29.1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2.00;17.04.02;2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