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0979-2022-QEO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洪湖市鼎固商砼有限公司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2022年08月15日 上午至2022年08月16日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喻荣秋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2021-N1QMS-1274747</w:t>
            </w:r>
          </w:p>
          <w:p>
            <w:pPr>
              <w:spacing w:line="240" w:lineRule="exact"/>
              <w:jc w:val="center"/>
              <w:rPr>
                <w:b/>
                <w:color w:val="000000"/>
                <w:szCs w:val="21"/>
              </w:rPr>
            </w:pPr>
            <w:r>
              <w:rPr>
                <w:b/>
                <w:color w:val="000000"/>
                <w:szCs w:val="21"/>
              </w:rPr>
              <w:t>2021-N1EMS-1274747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赵娟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ISC-JSZJ-559</w:t>
            </w:r>
          </w:p>
          <w:p>
            <w:pPr>
              <w:spacing w:line="240" w:lineRule="exact"/>
              <w:jc w:val="center"/>
              <w:rPr>
                <w:b/>
                <w:color w:val="000000"/>
                <w:szCs w:val="21"/>
              </w:rPr>
            </w:pPr>
            <w:r>
              <w:rPr>
                <w:b/>
                <w:color w:val="000000"/>
                <w:szCs w:val="21"/>
              </w:rPr>
              <w:t>ISC-JSZJ-559</w:t>
            </w:r>
          </w:p>
          <w:p>
            <w:pPr>
              <w:spacing w:line="240" w:lineRule="exact"/>
              <w:jc w:val="center"/>
              <w:rPr>
                <w:b/>
                <w:color w:val="000000"/>
                <w:szCs w:val="21"/>
              </w:rPr>
            </w:pPr>
            <w:r>
              <w:rPr>
                <w:b/>
                <w:color w:val="000000"/>
                <w:szCs w:val="21"/>
              </w:rPr>
              <w:t>ISC-JSZJ-559</w:t>
            </w:r>
          </w:p>
          <w:p>
            <w:pPr>
              <w:spacing w:line="240" w:lineRule="exact"/>
              <w:jc w:val="center"/>
              <w:rPr>
                <w:b/>
                <w:color w:val="000000"/>
                <w:szCs w:val="21"/>
              </w:rPr>
            </w:pPr>
            <w:r>
              <w:rPr>
                <w:b/>
                <w:color w:val="000000"/>
                <w:szCs w:val="21"/>
              </w:rPr>
              <w:t>湖北坤隆建材有限公司</w:t>
            </w:r>
          </w:p>
        </w:tc>
        <w:tc>
          <w:tcPr>
            <w:tcW w:w="1140" w:type="dxa"/>
            <w:vAlign w:val="center"/>
          </w:tcPr>
          <w:p>
            <w:pPr>
              <w:spacing w:line="240" w:lineRule="exact"/>
              <w:jc w:val="center"/>
              <w:rPr>
                <w:b/>
                <w:color w:val="000000"/>
                <w:szCs w:val="21"/>
              </w:rPr>
            </w:pPr>
            <w:r>
              <w:rPr>
                <w:b/>
                <w:color w:val="000000"/>
                <w:szCs w:val="21"/>
              </w:rPr>
              <w:t>Q:16.02.03</w:t>
            </w:r>
          </w:p>
          <w:p>
            <w:pPr>
              <w:spacing w:line="240" w:lineRule="exact"/>
              <w:jc w:val="center"/>
              <w:rPr>
                <w:b/>
                <w:color w:val="000000"/>
                <w:szCs w:val="21"/>
              </w:rPr>
            </w:pPr>
            <w:r>
              <w:rPr>
                <w:b/>
                <w:color w:val="000000"/>
                <w:szCs w:val="21"/>
              </w:rPr>
              <w:t>E:16.02.03</w:t>
            </w:r>
          </w:p>
          <w:p>
            <w:pPr>
              <w:spacing w:line="240" w:lineRule="exact"/>
              <w:jc w:val="center"/>
              <w:rPr>
                <w:b/>
                <w:color w:val="000000"/>
                <w:szCs w:val="21"/>
              </w:rPr>
            </w:pPr>
            <w:r>
              <w:rPr>
                <w:b/>
                <w:color w:val="000000"/>
                <w:szCs w:val="21"/>
              </w:rPr>
              <w:t>O:16.02.03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洪湖市鼎固商砼有限公司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湖北省洪湖市乌林镇松林村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433210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湖北省洪湖市乌林镇松林村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433210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r>
              <w:rPr>
                <w:rFonts w:hint="eastAsia"/>
                <w:sz w:val="21"/>
                <w:szCs w:val="21"/>
                <w:lang w:val="en-US" w:eastAsia="zh-CN"/>
              </w:rPr>
              <w:t>邓琴</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hint="eastAsia"/>
                <w:sz w:val="21"/>
                <w:szCs w:val="21"/>
                <w:lang w:val="en-US" w:eastAsia="zh-CN"/>
              </w:rPr>
              <w:t>13135771518</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叶绍华</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r>
              <w:rPr>
                <w:rFonts w:hint="eastAsia"/>
                <w:sz w:val="21"/>
                <w:szCs w:val="21"/>
                <w:lang w:val="en-US" w:eastAsia="zh-CN"/>
              </w:rPr>
              <w:t>邓琴</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color w:val="000000"/>
                <w:szCs w:val="21"/>
                <w:lang w:val="en-US" w:eastAsia="zh-CN"/>
              </w:rPr>
              <w:t xml:space="preserve">预拌混凝土、预拌砂浆的生产及销售 </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rPr>
                <w:b w:val="0"/>
                <w:sz w:val="20"/>
                <w:szCs w:val="20"/>
              </w:rPr>
            </w:pPr>
            <w:r>
              <w:rPr>
                <w:b w:val="0"/>
                <w:sz w:val="20"/>
                <w:szCs w:val="20"/>
              </w:rPr>
              <w:t>预拌混凝土工业流程:</w:t>
            </w:r>
            <w:r>
              <w:rPr>
                <w:rFonts w:hint="eastAsia"/>
                <w:b/>
                <w:sz w:val="20"/>
              </w:rPr>
              <w:t xml:space="preserve">原材料检验→配料→计量→搅拌→检验→运输交付 </w:t>
            </w:r>
            <w:r>
              <w:rPr>
                <w:b w:val="0"/>
                <w:sz w:val="20"/>
                <w:szCs w:val="20"/>
              </w:rPr>
              <w:t xml:space="preserve">  </w:t>
            </w:r>
          </w:p>
          <w:p>
            <w:pPr>
              <w:snapToGrid w:val="0"/>
              <w:spacing w:line="280" w:lineRule="exact"/>
              <w:rPr>
                <w:b w:val="0"/>
                <w:sz w:val="20"/>
                <w:szCs w:val="20"/>
              </w:rPr>
            </w:pPr>
            <w:r>
              <w:rPr>
                <w:b w:val="0"/>
                <w:sz w:val="20"/>
                <w:szCs w:val="20"/>
              </w:rPr>
              <w:t>预拌砂浆工业流程：</w:t>
            </w:r>
            <w:r>
              <w:rPr>
                <w:rFonts w:hint="eastAsia"/>
                <w:b/>
                <w:sz w:val="20"/>
              </w:rPr>
              <w:t xml:space="preserve">原材料检验→配料→计量→搅拌→检验→运输交付 </w:t>
            </w:r>
            <w:r>
              <w:rPr>
                <w:b w:val="0"/>
                <w:sz w:val="20"/>
                <w:szCs w:val="20"/>
              </w:rPr>
              <w:t xml:space="preserve"> ；干燥、筛分→核算配合比→均匀混料→包装，散装</w:t>
            </w:r>
          </w:p>
          <w:p>
            <w:pPr>
              <w:tabs>
                <w:tab w:val="left" w:pos="360"/>
              </w:tabs>
              <w:ind w:left="360" w:hanging="360"/>
              <w:rPr>
                <w:rFonts w:ascii="宋体"/>
                <w:color w:val="000000"/>
                <w:szCs w:val="21"/>
              </w:rPr>
            </w:pPr>
            <w:r>
              <w:rPr>
                <w:b w:val="0"/>
                <w:sz w:val="20"/>
                <w:szCs w:val="20"/>
              </w:rPr>
              <w:t xml:space="preserve">销售过程： 市场开发→签合同→销售→售后服务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0"/>
              </w:rPr>
              <w:t>预拌混凝土、预拌砂浆的生产及销售</w:t>
            </w:r>
          </w:p>
        </w:tc>
        <w:tc>
          <w:tcPr>
            <w:tcW w:w="2006" w:type="dxa"/>
            <w:gridSpan w:val="3"/>
            <w:vAlign w:val="center"/>
          </w:tcPr>
          <w:p>
            <w:pPr>
              <w:spacing w:line="400" w:lineRule="exact"/>
              <w:rPr>
                <w:rFonts w:ascii="宋体" w:hAnsi="宋体"/>
                <w:b/>
                <w:color w:val="000000"/>
                <w:szCs w:val="21"/>
              </w:rPr>
            </w:pPr>
            <w:r>
              <w:rPr>
                <w:sz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0"/>
              </w:rPr>
              <w:t>预拌混凝土、预拌砂浆的生产及销售所涉及场所的相关环境管理活动</w:t>
            </w:r>
          </w:p>
        </w:tc>
        <w:tc>
          <w:tcPr>
            <w:tcW w:w="2006" w:type="dxa"/>
            <w:gridSpan w:val="3"/>
            <w:vAlign w:val="center"/>
          </w:tcPr>
          <w:p>
            <w:pPr>
              <w:spacing w:line="400" w:lineRule="exact"/>
              <w:rPr>
                <w:rFonts w:ascii="宋体" w:hAnsi="宋体"/>
                <w:b/>
                <w:color w:val="000000"/>
                <w:szCs w:val="21"/>
              </w:rPr>
            </w:pPr>
            <w:r>
              <w:rPr>
                <w:sz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0"/>
              </w:rPr>
              <w:t>预拌混凝土、预拌砂浆的生产及销售所涉及场所的相关职业健康安全管理活动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zh-CN"/>
              </w:rPr>
            </w:pPr>
            <w:r>
              <w:rPr>
                <w:rFonts w:hint="eastAsia" w:eastAsia="黑体"/>
                <w:szCs w:val="21"/>
                <w:lang w:val="de-DE" w:eastAsia="ja-JP"/>
              </w:rPr>
              <w:t>洪湖市鼎固商砼有限公司</w:t>
            </w:r>
            <w:r>
              <w:rPr>
                <w:rFonts w:hint="eastAsia" w:eastAsia="黑体"/>
                <w:szCs w:val="21"/>
                <w:lang w:val="de-DE" w:eastAsia="zh-CN"/>
              </w:rPr>
              <w:t>；</w:t>
            </w:r>
            <w:r>
              <w:rPr>
                <w:rFonts w:hint="eastAsia"/>
                <w:color w:val="000000"/>
                <w:lang w:val="en-US" w:eastAsia="zh-CN"/>
              </w:rPr>
              <w:t>湖北省洪湖市乌林镇松林村；</w:t>
            </w:r>
          </w:p>
        </w:tc>
        <w:tc>
          <w:tcPr>
            <w:tcW w:w="2267" w:type="dxa"/>
          </w:tcPr>
          <w:p>
            <w:pPr>
              <w:spacing w:before="40" w:after="40"/>
              <w:rPr>
                <w:rFonts w:eastAsia="黑体"/>
                <w:szCs w:val="21"/>
                <w:lang w:val="de-DE" w:eastAsia="ja-JP"/>
              </w:rPr>
            </w:pPr>
            <w:r>
              <w:rPr>
                <w:rFonts w:hint="eastAsia"/>
                <w:color w:val="000000"/>
                <w:lang w:val="en-US" w:eastAsia="zh-CN"/>
              </w:rPr>
              <w:t>湖北省洪湖市乌林镇松林村；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56</w:t>
            </w:r>
          </w:p>
        </w:tc>
        <w:tc>
          <w:tcPr>
            <w:tcW w:w="2803" w:type="dxa"/>
            <w:vAlign w:val="center"/>
          </w:tcPr>
          <w:p>
            <w:pPr>
              <w:spacing w:line="440" w:lineRule="exact"/>
              <w:rPr>
                <w:rFonts w:hint="eastAsia"/>
                <w:color w:val="000000"/>
                <w:szCs w:val="21"/>
                <w:lang w:eastAsia="zh-CN"/>
              </w:rPr>
            </w:pPr>
            <w:r>
              <w:rPr>
                <w:rFonts w:hint="eastAsia"/>
                <w:color w:val="000000"/>
                <w:szCs w:val="21"/>
                <w:lang w:val="en-US" w:eastAsia="zh-CN"/>
              </w:rPr>
              <w:t xml:space="preserve">Q：预拌混凝土、预拌砂浆的生产及销售 </w:t>
            </w:r>
          </w:p>
          <w:p>
            <w:pPr>
              <w:spacing w:line="440" w:lineRule="exact"/>
              <w:rPr>
                <w:rFonts w:hint="eastAsia"/>
                <w:color w:val="000000"/>
                <w:szCs w:val="21"/>
                <w:lang w:eastAsia="zh-CN"/>
              </w:rPr>
            </w:pPr>
            <w:r>
              <w:rPr>
                <w:rFonts w:hint="eastAsia"/>
                <w:color w:val="000000"/>
                <w:szCs w:val="21"/>
                <w:lang w:val="en-US" w:eastAsia="zh-CN"/>
              </w:rPr>
              <w:t xml:space="preserve">E：预拌混凝土、预拌砂浆的生产及销售所涉及场所的相关环境管理活动 </w:t>
            </w:r>
          </w:p>
          <w:p>
            <w:pPr>
              <w:pStyle w:val="20"/>
              <w:rPr>
                <w:rFonts w:eastAsia="黑体" w:cs="Arial"/>
                <w:sz w:val="21"/>
                <w:szCs w:val="21"/>
                <w:lang w:val="en-US" w:eastAsia="ja-JP"/>
              </w:rPr>
            </w:pPr>
            <w:r>
              <w:rPr>
                <w:rFonts w:hint="eastAsia"/>
                <w:color w:val="000000"/>
                <w:szCs w:val="21"/>
                <w:lang w:val="en-US" w:eastAsia="zh-CN"/>
              </w:rPr>
              <w:t>O：预拌混凝土、预拌砂浆的生产及销售所涉及场所的相关职业健康安全管理活动</w:t>
            </w:r>
          </w:p>
        </w:tc>
        <w:tc>
          <w:tcPr>
            <w:tcW w:w="669" w:type="dxa"/>
            <w:vAlign w:val="center"/>
          </w:tcPr>
          <w:p>
            <w:pPr>
              <w:rPr>
                <w:rFonts w:ascii="宋体" w:hAnsi="宋体"/>
                <w:b/>
                <w:color w:val="000000"/>
                <w:szCs w:val="21"/>
                <w:lang w:val="de-DE"/>
              </w:rPr>
            </w:pPr>
            <w:r>
              <w:rPr>
                <w:rFonts w:hint="eastAsia" w:ascii="宋体" w:hAnsi="宋体"/>
                <w:b/>
                <w:color w:val="000000"/>
                <w:szCs w:val="21"/>
                <w:lang w:val="de-DE"/>
              </w:rPr>
              <w:t>■GB/T19001-2016■GB/T24001-2016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4-5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hAnsi="宋体" w:eastAsia="宋体" w:cs="Times New Roman"/>
                <w:szCs w:val="21"/>
                <w:lang w:val="en-US" w:eastAsia="zh-CN"/>
              </w:rPr>
              <w:t>配料、搅拌过程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cs="Times New Roman"/>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Times New Roman"/>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A3"/>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2022-08-1</w:t>
            </w:r>
            <w:bookmarkEnd w:id="32"/>
            <w:r>
              <w:rPr>
                <w:rFonts w:hint="eastAsia" w:ascii="宋体"/>
                <w:b/>
                <w:color w:val="000000"/>
                <w:szCs w:val="21"/>
                <w:lang w:val="en-US" w:eastAsia="zh-CN"/>
              </w:rPr>
              <w:t>7——</w:t>
            </w:r>
            <w:r>
              <w:rPr>
                <w:rFonts w:hint="eastAsia" w:ascii="宋体"/>
                <w:b/>
                <w:color w:val="000000"/>
                <w:szCs w:val="21"/>
              </w:rPr>
              <w:t>2022-08-</w:t>
            </w:r>
            <w:r>
              <w:rPr>
                <w:rFonts w:hint="eastAsia" w:ascii="宋体"/>
                <w:b/>
                <w:color w:val="000000"/>
                <w:szCs w:val="21"/>
                <w:lang w:val="en-US" w:eastAsia="zh-CN"/>
              </w:rPr>
              <w:t>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未见近期的环境监测报告</w:t>
            </w:r>
          </w:p>
        </w:tc>
        <w:tc>
          <w:tcPr>
            <w:tcW w:w="922"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E</w:t>
            </w:r>
          </w:p>
        </w:tc>
        <w:tc>
          <w:tcPr>
            <w:tcW w:w="113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9.1.1</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r>
              <w:rPr>
                <w:rFonts w:hint="eastAsia" w:ascii="宋体"/>
                <w:color w:val="000000"/>
                <w:szCs w:val="21"/>
                <w:lang w:val="en-US" w:eastAsia="zh-CN"/>
              </w:rPr>
              <w:t>未</w:t>
            </w:r>
            <w:r>
              <w:rPr>
                <w:rFonts w:hint="eastAsia" w:ascii="宋体"/>
                <w:color w:val="000000"/>
                <w:szCs w:val="21"/>
              </w:rPr>
              <w:t>提供近一年的作业场所有害物质监测报告</w:t>
            </w:r>
          </w:p>
        </w:tc>
        <w:tc>
          <w:tcPr>
            <w:tcW w:w="922"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S</w:t>
            </w:r>
          </w:p>
        </w:tc>
        <w:tc>
          <w:tcPr>
            <w:tcW w:w="113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9.1.1</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default"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A3"/>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bookmarkStart w:id="33" w:name="_GoBack"/>
      <w:r>
        <w:drawing>
          <wp:anchor distT="0" distB="0" distL="114300" distR="114300" simplePos="0" relativeHeight="251662336" behindDoc="0" locked="0" layoutInCell="1" allowOverlap="1">
            <wp:simplePos x="0" y="0"/>
            <wp:positionH relativeFrom="column">
              <wp:posOffset>-190500</wp:posOffset>
            </wp:positionH>
            <wp:positionV relativeFrom="paragraph">
              <wp:posOffset>313055</wp:posOffset>
            </wp:positionV>
            <wp:extent cx="6019800" cy="8267065"/>
            <wp:effectExtent l="0" t="0" r="0" b="635"/>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6019800" cy="8267065"/>
                    </a:xfrm>
                    <a:prstGeom prst="rect">
                      <a:avLst/>
                    </a:prstGeom>
                    <a:noFill/>
                    <a:ln>
                      <a:noFill/>
                    </a:ln>
                  </pic:spPr>
                </pic:pic>
              </a:graphicData>
            </a:graphic>
          </wp:anchor>
        </w:drawing>
      </w:r>
      <w:bookmarkEnd w:id="33"/>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hint="default" w:ascii="宋体"/>
          <w:b/>
          <w:color w:val="000000"/>
          <w:szCs w:val="21"/>
          <w:lang w:val="en-US" w:eastAsia="zh-CN"/>
        </w:rPr>
      </w:pPr>
      <w:r>
        <w:drawing>
          <wp:anchor distT="0" distB="0" distL="114300" distR="114300" simplePos="0" relativeHeight="251661312" behindDoc="1" locked="0" layoutInCell="1" allowOverlap="1">
            <wp:simplePos x="0" y="0"/>
            <wp:positionH relativeFrom="column">
              <wp:posOffset>90170</wp:posOffset>
            </wp:positionH>
            <wp:positionV relativeFrom="paragraph">
              <wp:posOffset>-9240520</wp:posOffset>
            </wp:positionV>
            <wp:extent cx="6166485" cy="8286115"/>
            <wp:effectExtent l="0" t="0" r="0" b="0"/>
            <wp:wrapTight wrapText="bothSides">
              <wp:wrapPolygon>
                <wp:start x="0" y="0"/>
                <wp:lineTo x="0" y="21552"/>
                <wp:lineTo x="21576" y="21552"/>
                <wp:lineTo x="21576"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166485" cy="8286115"/>
                    </a:xfrm>
                    <a:prstGeom prst="rect">
                      <a:avLst/>
                    </a:prstGeom>
                    <a:noFill/>
                    <a:ln>
                      <a:noFill/>
                    </a:ln>
                  </pic:spPr>
                </pic:pic>
              </a:graphicData>
            </a:graphic>
          </wp:anchor>
        </w:drawing>
      </w:r>
      <w:r>
        <w:rPr>
          <w:rFonts w:hint="eastAsia" w:ascii="宋体"/>
          <w:b/>
          <w:color w:val="000000"/>
          <w:szCs w:val="21"/>
          <w:lang w:val="en-US" w:eastAsia="zh-CN"/>
        </w:rPr>
        <w:t xml:space="preserve">  </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zNmYzZkNjY3OTU4NDczNmE2MzQyY2ZjMDNmYTJmNDMifQ=="/>
  </w:docVars>
  <w:rsids>
    <w:rsidRoot w:val="00000000"/>
    <w:rsid w:val="012E04E2"/>
    <w:rsid w:val="06BF7DC5"/>
    <w:rsid w:val="081E7E05"/>
    <w:rsid w:val="090221EB"/>
    <w:rsid w:val="0CEC1ED6"/>
    <w:rsid w:val="1176599A"/>
    <w:rsid w:val="12046FD4"/>
    <w:rsid w:val="15285CC5"/>
    <w:rsid w:val="17D2114D"/>
    <w:rsid w:val="1B4D1514"/>
    <w:rsid w:val="1BFF185E"/>
    <w:rsid w:val="1CF10155"/>
    <w:rsid w:val="1DCA7E15"/>
    <w:rsid w:val="22153F31"/>
    <w:rsid w:val="24B623B0"/>
    <w:rsid w:val="27B6645B"/>
    <w:rsid w:val="2C0F3ACE"/>
    <w:rsid w:val="2C2236C6"/>
    <w:rsid w:val="2C273B93"/>
    <w:rsid w:val="2D2E09B4"/>
    <w:rsid w:val="2DAA5DC0"/>
    <w:rsid w:val="2F5E5B1E"/>
    <w:rsid w:val="306D72C1"/>
    <w:rsid w:val="33296443"/>
    <w:rsid w:val="335C4122"/>
    <w:rsid w:val="3381002D"/>
    <w:rsid w:val="35E91A12"/>
    <w:rsid w:val="3A7C4D3B"/>
    <w:rsid w:val="3C806C86"/>
    <w:rsid w:val="3CA27154"/>
    <w:rsid w:val="3D08531B"/>
    <w:rsid w:val="3D764274"/>
    <w:rsid w:val="4047615A"/>
    <w:rsid w:val="44B96C86"/>
    <w:rsid w:val="45AC2160"/>
    <w:rsid w:val="46C71B9F"/>
    <w:rsid w:val="46D61079"/>
    <w:rsid w:val="47BD1A67"/>
    <w:rsid w:val="47D70705"/>
    <w:rsid w:val="48013092"/>
    <w:rsid w:val="480A5B07"/>
    <w:rsid w:val="491515B5"/>
    <w:rsid w:val="49964780"/>
    <w:rsid w:val="4A062BE2"/>
    <w:rsid w:val="4F36622A"/>
    <w:rsid w:val="4FAB358E"/>
    <w:rsid w:val="500B0F52"/>
    <w:rsid w:val="52727066"/>
    <w:rsid w:val="52787655"/>
    <w:rsid w:val="54AD05CD"/>
    <w:rsid w:val="55985F62"/>
    <w:rsid w:val="56DE2F1C"/>
    <w:rsid w:val="5C780BEC"/>
    <w:rsid w:val="5D211DB5"/>
    <w:rsid w:val="5D967B2B"/>
    <w:rsid w:val="5DAD3649"/>
    <w:rsid w:val="5E624C45"/>
    <w:rsid w:val="60975E85"/>
    <w:rsid w:val="60BB5B07"/>
    <w:rsid w:val="60D12E07"/>
    <w:rsid w:val="623B7475"/>
    <w:rsid w:val="635D166D"/>
    <w:rsid w:val="665B61D6"/>
    <w:rsid w:val="6C652F7E"/>
    <w:rsid w:val="6CC05BFA"/>
    <w:rsid w:val="6E0468FF"/>
    <w:rsid w:val="6E244BCE"/>
    <w:rsid w:val="704710FE"/>
    <w:rsid w:val="75DC402E"/>
    <w:rsid w:val="76E70CFC"/>
    <w:rsid w:val="77560F1F"/>
    <w:rsid w:val="7A925C48"/>
    <w:rsid w:val="7E2A79ED"/>
    <w:rsid w:val="7F271B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jc w:val="left"/>
    </w:pPr>
    <w:rPr>
      <w:rFonts w:ascii="Times New Roman" w:hAnsi="Times New Roman" w:eastAsia="宋体" w:cs="Times New Roman"/>
      <w:sz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7"/>
    <w:qFormat/>
    <w:locked/>
    <w:uiPriority w:val="99"/>
    <w:rPr>
      <w:rFonts w:ascii="Calibri" w:hAnsi="Calibri" w:eastAsia="宋体" w:cs="Times New Roman"/>
      <w:sz w:val="18"/>
      <w:szCs w:val="18"/>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5581</Words>
  <Characters>6338</Characters>
  <Lines>67</Lines>
  <Paragraphs>18</Paragraphs>
  <TotalTime>9</TotalTime>
  <ScaleCrop>false</ScaleCrop>
  <LinksUpToDate>false</LinksUpToDate>
  <CharactersWithSpaces>6419</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2022-12-14T14:09:47Z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2052-11.1.0.12132</vt:lpwstr>
  </property>
</Properties>
</file>