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89535</wp:posOffset>
            </wp:positionV>
            <wp:extent cx="6135370" cy="7980045"/>
            <wp:effectExtent l="0" t="0" r="1143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258445</wp:posOffset>
            </wp:positionV>
            <wp:extent cx="6830060" cy="8569325"/>
            <wp:effectExtent l="0" t="0" r="254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133350</wp:posOffset>
            </wp:positionV>
            <wp:extent cx="5652770" cy="6856095"/>
            <wp:effectExtent l="0" t="0" r="11430" b="190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both"/>
        <w:rPr>
          <w:rFonts w:hint="eastAsia" w:ascii="宋体" w:hAnsi="宋体"/>
          <w:b/>
          <w:sz w:val="30"/>
          <w:szCs w:val="30"/>
        </w:rPr>
      </w:pPr>
      <w:bookmarkStart w:id="2" w:name="_GoBack"/>
      <w:bookmarkEnd w:id="2"/>
    </w:p>
    <w:p>
      <w:pPr>
        <w:snapToGrid w:val="0"/>
        <w:spacing w:before="120" w:line="360" w:lineRule="exact"/>
        <w:jc w:val="both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6"/>
        <w:tblW w:w="10673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洪湖市鼎固商砼有限公司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赵 娟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会议室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周 文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喻荣秋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生产工艺</w:t>
            </w:r>
            <w:r>
              <w:rPr>
                <w:b/>
                <w:sz w:val="20"/>
                <w:szCs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预拌混凝土工业流程: 签订合同→核算配合比→原材料制备→配料→检测→出料→搅拌→装罐车→浇注  </w:t>
            </w:r>
          </w:p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预拌砂浆工业流程：干燥、筛分→核算配合比→均匀混料→包装，散装</w:t>
            </w:r>
          </w:p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销售过程： 市场开发→签合同→销售→售后服务 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szCs w:val="20"/>
              </w:rPr>
              <w:t>关键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numPr>
                <w:ilvl w:val="0"/>
                <w:numId w:val="1"/>
              </w:numPr>
              <w:tabs>
                <w:tab w:val="left" w:pos="2923"/>
              </w:tabs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关键控制点是混凝土的搅拌过程，采取人、机、料、法、环管理进行控制：根据混凝土生产的特点，试验室制定“混凝土质量技术控制措施”、“预拌混凝土试，验工作流程”，规定抗压试验方法，依此作为确认过程能力的依据。</w:t>
            </w:r>
          </w:p>
          <w:p>
            <w:pPr>
              <w:pageBreakBefore w:val="0"/>
              <w:numPr>
                <w:ilvl w:val="0"/>
                <w:numId w:val="1"/>
              </w:numPr>
              <w:tabs>
                <w:tab w:val="left" w:pos="2923"/>
              </w:tabs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对过程设备、能力进行确认。</w:t>
            </w:r>
          </w:p>
          <w:p>
            <w:pPr>
              <w:pageBreakBefore w:val="0"/>
              <w:numPr>
                <w:ilvl w:val="0"/>
                <w:numId w:val="1"/>
              </w:numPr>
              <w:tabs>
                <w:tab w:val="left" w:pos="2923"/>
              </w:tabs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对操作人员资格进行评定。</w:t>
            </w:r>
          </w:p>
          <w:p>
            <w:pPr>
              <w:pageBreakBefore w:val="0"/>
              <w:tabs>
                <w:tab w:val="left" w:pos="358"/>
              </w:tabs>
              <w:autoSpaceDE/>
              <w:autoSpaceDN/>
              <w:bidi w:val="0"/>
              <w:snapToGrid w:val="0"/>
              <w:spacing w:before="0" w:after="0" w:line="240" w:lineRule="auto"/>
              <w:ind w:left="0" w:right="0" w:firstLine="360"/>
              <w:jc w:val="left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对过程能力和人员资格每年进行一次确认。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  <w:szCs w:val="20"/>
              </w:rPr>
              <w:t>相关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  <w:szCs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《</w:t>
            </w:r>
            <w:r>
              <w:rPr>
                <w:rFonts w:ascii="宋体" w:hAnsi="宋体" w:eastAsia="宋体" w:cs="宋体"/>
                <w:color w:val="333333"/>
                <w:spacing w:val="0"/>
                <w:sz w:val="21"/>
                <w:szCs w:val="21"/>
                <w:rtl w:val="0"/>
              </w:rPr>
              <w:t>预拌混凝土绿色生产及管理技术规程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》、《</w:t>
            </w: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预拌混凝土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》《</w:t>
            </w: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混凝土泵送施工技术规程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》预制混凝土 楼梯JG/T562-2018、预制混凝土 箱涵JG/T2456-2018、预制混凝土外挂墙板应用技术标准JG/T458-2018、预应力混凝土管桩技术标准JG/T406-2017、预应力混凝土T型梁JG/T2329-2016；及顾客合同要求。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szCs w:val="20"/>
              </w:rPr>
              <w:t>检验和试验项目及要求</w:t>
            </w:r>
            <w:r>
              <w:rPr>
                <w:b/>
                <w:sz w:val="20"/>
                <w:szCs w:val="20"/>
              </w:rPr>
              <w:t>(</w:t>
            </w:r>
            <w:r>
              <w:rPr>
                <w:rFonts w:hint="eastAsia"/>
                <w:b/>
                <w:sz w:val="20"/>
                <w:szCs w:val="20"/>
              </w:rPr>
              <w:t>如有型式试验要求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rFonts w:hint="eastAsia"/>
                <w:b/>
                <w:sz w:val="20"/>
                <w:szCs w:val="20"/>
              </w:rPr>
              <w:t>要进行说明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  <w:szCs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 xml:space="preserve">EMS  </w:t>
      </w:r>
    </w:p>
    <w:tbl>
      <w:tblPr>
        <w:tblStyle w:val="6"/>
        <w:tblW w:w="10673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洪湖市鼎固商砼有限公司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赵 娟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会议室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周文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喻荣秋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生产工艺</w:t>
            </w:r>
            <w:r>
              <w:rPr>
                <w:b/>
                <w:sz w:val="20"/>
                <w:szCs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预拌混凝土工业流程: 签订合同→核算配合比→原材料制备→配料→检测→出料→搅拌→装罐车→浇注  </w:t>
            </w:r>
          </w:p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预拌砂浆工业流程：干燥、筛分→核算配合比→均匀混料→包装，散装</w:t>
            </w:r>
          </w:p>
          <w:p>
            <w:pPr>
              <w:snapToGrid w:val="0"/>
              <w:spacing w:line="280" w:lineRule="exact"/>
              <w:rPr>
                <w:b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销售过程： 市场开发→签合同→销售→售后服务 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重要环境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  <w:szCs w:val="20"/>
              </w:rPr>
              <w:t>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b/>
                <w:color w:val="000000"/>
                <w:spacing w:val="0"/>
                <w:sz w:val="21"/>
                <w:szCs w:val="21"/>
                <w:rtl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噪声：1）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建立环境保护管理规定；</w:t>
            </w: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2）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噪声隔离，减少接触时间；3）加强设备维修保养润滑，减少噪声排放；</w:t>
            </w: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粉尘：1）</w:t>
            </w: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建立生产现场环境保护管理制度；2）制定生产现场扬尘、噪声控制措施；落实环境卫生责任制度；3）加强员工安全环保意识教育；</w:t>
            </w:r>
          </w:p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left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定时洒水、清扫；4）车辆定期维修保养，保持消声装置性能良好，有效降低噪声、尾气排放。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  <w:szCs w:val="20"/>
              </w:rPr>
              <w:t>相关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  <w:szCs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《中华人民共和国环境保护法》《污水综合排放标准》《中华人民共和国环境污染噪声防治法》《大气污染物综合排放标准》预制混凝土 楼梯JG/T562-2018、预制混凝土 箱涵JG/T2456-2018、预制混凝土外挂墙板应用技术标准JG/T458-2018、预应力混凝土管桩技术标准JG/T406-2017、预应力混凝土T型梁JG/T2329-2016；及顾客合同要求。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  <w:szCs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>OHSMS</w:t>
      </w:r>
    </w:p>
    <w:tbl>
      <w:tblPr>
        <w:tblStyle w:val="6"/>
        <w:tblW w:w="10673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洪湖市鼎固商砼有限公司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赵娟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ind w:left="125" w:leftChars="52"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1"/>
                <w:szCs w:val="21"/>
                <w:rtl w:val="0"/>
              </w:rPr>
              <w:t>16.02.01;16.02.03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会议室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111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周文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喻荣秋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生产工艺</w:t>
            </w:r>
            <w:r>
              <w:rPr>
                <w:b/>
                <w:sz w:val="20"/>
                <w:szCs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预拌混凝土工业流程: 签订合同→核算配合比→原材料制备→配料→检测→出料→搅拌→装罐车→浇注  </w:t>
            </w:r>
          </w:p>
          <w:p>
            <w:pPr>
              <w:snapToGrid w:val="0"/>
              <w:spacing w:line="280" w:lineRule="exac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预拌砂浆工业流程：干燥、筛分→核算配合比→均匀混料→包装，散装</w:t>
            </w:r>
          </w:p>
          <w:p>
            <w:pPr>
              <w:snapToGrid w:val="0"/>
              <w:spacing w:line="280" w:lineRule="exact"/>
              <w:rPr>
                <w:b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销售过程： 市场开发→签合同→销售→售后服务 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不可接受风险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  <w:szCs w:val="20"/>
              </w:rPr>
              <w:t>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1）机械伤害，加强现场监督检查2）物体打击，加强现场监督检查3）火灾爆炸，制定应急预案，加强安全教育，日常安全检查</w:t>
            </w:r>
          </w:p>
          <w:p>
            <w:pPr>
              <w:pageBreakBefore w:val="0"/>
              <w:numPr>
                <w:ilvl w:val="0"/>
                <w:numId w:val="2"/>
              </w:numPr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sz w:val="21"/>
                <w:szCs w:val="21"/>
                <w:rtl w:val="0"/>
              </w:rPr>
              <w:t>触电，加强安全教育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  <w:szCs w:val="20"/>
              </w:rPr>
              <w:t>相关</w:t>
            </w: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  <w:szCs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pageBreakBefore w:val="0"/>
              <w:autoSpaceDE/>
              <w:autoSpaceDN/>
              <w:bidi w:val="0"/>
              <w:snapToGrid w:val="0"/>
              <w:spacing w:before="0" w:after="0" w:line="240" w:lineRule="auto"/>
              <w:ind w:left="0" w:right="0" w:firstLine="0"/>
              <w:jc w:val="both"/>
              <w:rPr>
                <w:b/>
                <w:sz w:val="20"/>
                <w:szCs w:val="20"/>
              </w:rPr>
            </w:pPr>
            <w:r>
              <w:rPr>
                <w:rFonts w:ascii="宋体" w:hAnsi="宋体" w:eastAsia="宋体" w:cs="宋体"/>
                <w:b w:val="0"/>
                <w:color w:val="000000" w:themeColor="text1"/>
                <w:spacing w:val="0"/>
                <w:sz w:val="21"/>
                <w:szCs w:val="21"/>
                <w:rtl w:val="0"/>
                <w14:textFill>
                  <w14:solidFill>
                    <w14:schemeClr w14:val="tx1"/>
                  </w14:solidFill>
                </w14:textFill>
              </w:rPr>
              <w:t>《中华人民共和国安全法》《中华人民共和国职业病防治法》预制混凝土 楼梯JG/T562-2018、预制混凝土 箱涵JG/T2456-2018、预制混凝土外挂墙板应用技术标准JG/T458-2018、预应力混凝土管桩技术标准JG/T406-2017、预应力混凝土T型梁JG/T2329-2016；及顾客合同要求。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szCs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  <w:szCs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2022.08.15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rPr>
          <w:b/>
          <w:sz w:val="22"/>
          <w:szCs w:val="22"/>
        </w:rPr>
      </w:pPr>
    </w:p>
    <w:p>
      <w:pPr>
        <w:rPr>
          <w:b/>
          <w:sz w:val="22"/>
          <w:szCs w:val="22"/>
        </w:rPr>
      </w:pPr>
    </w:p>
    <w:p>
      <w:pPr>
        <w:spacing w:before="0" w:after="0" w:line="240" w:lineRule="auto"/>
        <w:ind w:left="0" w:right="0" w:firstLine="0"/>
        <w:jc w:val="center"/>
      </w:pPr>
    </w:p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pgNumType w:fmt="decimal"/>
      <w:cols w:space="720" w:num="1"/>
      <w:docGrid w:linePitch="326" w:charSpace="-51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000000" w:sz="0" w:space="0"/>
      </w:pBdr>
      <w:tabs>
        <w:tab w:val="left" w:pos="8910"/>
        <w:tab w:val="left" w:pos="9142"/>
        <w:tab w:val="clear" w:pos="4153"/>
      </w:tabs>
      <w:spacing w:line="320" w:lineRule="exact"/>
      <w:ind w:left="-235" w:leftChars="-98" w:firstLine="450"/>
      <w:jc w:val="left"/>
      <w:rPr>
        <w:rStyle w:val="11"/>
        <w:rFonts w:hint="default"/>
      </w:rPr>
    </w:pPr>
    <w:r>
      <w:rPr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3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 descr="新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410" cy="486410"/>
                  </a:xfrm>
                  <a:prstGeom prst="rect">
                    <a:avLst/>
                  </a:prstGeom>
                  <a:ln cap="flat"/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000000" w:sz="0" w:space="0"/>
      </w:pBdr>
      <w:spacing w:line="320" w:lineRule="exact"/>
      <w:ind w:firstLine="500"/>
      <w:jc w:val="left"/>
    </w:pPr>
    <w:r>
      <w:rPr>
        <w:sz w:val="20"/>
      </w:rPr>
      <w:pict>
        <v:shape id="_x0000_s1025" o:spid="_x0000_s1025" o:spt="202" type="#_x0000_t202" style="position:absolute;left:0pt;margin-left:380pt;margin-top:3pt;height:20.2pt;width:111.8pt;z-index:251660288;mso-width-relative:page;mso-height-relative:page;" fillcolor="#FFFFFF" filled="t" o:preferrelative="t" stroked="f" coordsize="21600,21600">
          <v:path/>
          <v:fill on="t" focussize="0,0"/>
          <v:stroke on="f" joinstyle="miter"/>
          <v:imagedata o:title=""/>
          <o:lock v:ext="edit"/>
          <v:textbox inset="7pt,4pt,7pt,4pt">
            <w:txbxContent>
              <w:p>
                <w:pPr>
                  <w:ind w:firstLine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  <w:p>
    <w:pPr>
      <w:tabs>
        <w:tab w:val="left" w:pos="9245"/>
      </w:tabs>
      <w:wordWrap w:val="0"/>
      <w:ind w:right="64" w:firstLine="2300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000000"/>
    <w:multiLevelType w:val="multilevel"/>
    <w:tmpl w:val="2F000000"/>
    <w:lvl w:ilvl="0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1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2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3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4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5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6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7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8" w:tentative="0">
      <w:start w:val="1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</w:abstractNum>
  <w:abstractNum w:abstractNumId="1">
    <w:nsid w:val="2F000001"/>
    <w:multiLevelType w:val="multilevel"/>
    <w:tmpl w:val="2F000001"/>
    <w:lvl w:ilvl="0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1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2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3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4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5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6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7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  <w:lvl w:ilvl="8" w:tentative="0">
      <w:start w:val="2"/>
      <w:numFmt w:val="decimalHalfWidth"/>
      <w:suff w:val="nothing"/>
      <w:lvlText w:val="%1）"/>
      <w:lvlJc w:val="left"/>
      <w:pPr>
        <w:pageBreakBefore w:val="0"/>
        <w:autoSpaceDE/>
        <w:autoSpaceDN/>
        <w:bidi w:val="0"/>
        <w:snapToGrid w:val="0"/>
        <w:spacing w:before="0" w:after="0" w:line="0" w:lineRule="auto"/>
        <w:ind w:left="0" w:right="0" w:firstLine="0"/>
        <w:jc w:val="left"/>
      </w:pPr>
      <w:rPr>
        <w:rFonts w:ascii="宋体" w:hAnsi="宋体" w:eastAsia="宋体" w:cs="宋体"/>
        <w:color w:val="auto"/>
        <w:spacing w:val="0"/>
        <w:sz w:val="20"/>
        <w:szCs w:val="20"/>
        <w:rtl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Footer w:val="1"/>
  <w:documentProtection w:enforcement="0"/>
  <w:defaultTabStop w:val="42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$([{£¥·‘“〈《「『【〔〖〝﹙﹛﹝＄（．［｛￡￥"/>
  <w:hdrShapeDefaults>
    <o:shapelayout v:ext="edit">
      <o:idmap v:ext="edit" data="1"/>
    </o:shapelayout>
  </w:hdrShapeDefaults>
  <w:compat>
    <w:balanceSingleByteDoubleByteWidth/>
    <w:ulTrailSpace/>
    <w:adjustLineHeightInTable/>
    <w:useFELayout/>
    <w:compatSetting w:name="compatibilityMode" w:uri="http://schemas.microsoft.com/office/word" w:val="15"/>
  </w:compat>
  <w:docVars>
    <w:docVar w:name="commondata" w:val="eyJoZGlkIjoiYmM3NDJhNGRkNmZiZjA2OTg3ZjZiMDhkODZkNmNlMjcifQ=="/>
  </w:docVars>
  <w:rsids>
    <w:rsidRoot w:val="00000000"/>
    <w:rsid w:val="15352194"/>
    <w:rsid w:val="3D8C3E06"/>
    <w:rsid w:val="54940E48"/>
    <w:rsid w:val="5CE24DE9"/>
    <w:rsid w:val="60664E14"/>
    <w:rsid w:val="61986870"/>
    <w:rsid w:val="6F7B746F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153" w:semiHidden="0" w:name="header"/>
    <w:lsdException w:qFormat="1" w:unhideWhenUsed="0" w:uiPriority="152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2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3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151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jc w:val="both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2"/>
  </w:style>
  <w:style w:type="table" w:default="1" w:styleId="6">
    <w:name w:val="Normal Table"/>
    <w:semiHidden/>
    <w:unhideWhenUsed/>
    <w:qFormat/>
    <w:uiPriority w:val="3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Balloon Text"/>
    <w:basedOn w:val="1"/>
    <w:link w:val="10"/>
    <w:semiHidden/>
    <w:unhideWhenUsed/>
    <w:qFormat/>
    <w:uiPriority w:val="151"/>
    <w:rPr>
      <w:sz w:val="18"/>
      <w:szCs w:val="18"/>
    </w:rPr>
  </w:style>
  <w:style w:type="paragraph" w:styleId="4">
    <w:name w:val="footer"/>
    <w:basedOn w:val="1"/>
    <w:link w:val="9"/>
    <w:qFormat/>
    <w:uiPriority w:val="1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8"/>
    <w:qFormat/>
    <w:uiPriority w:val="153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link w:val="5"/>
    <w:qFormat/>
    <w:uiPriority w:val="155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link w:val="4"/>
    <w:qFormat/>
    <w:uiPriority w:val="154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link w:val="3"/>
    <w:semiHidden/>
    <w:qFormat/>
    <w:uiPriority w:val="156"/>
    <w:rPr>
      <w:rFonts w:ascii="Times New Roman" w:hAnsi="Times New Roman"/>
      <w:sz w:val="18"/>
      <w:szCs w:val="18"/>
    </w:rPr>
  </w:style>
  <w:style w:type="character" w:customStyle="1" w:styleId="11">
    <w:name w:val="Char Char1"/>
    <w:qFormat/>
    <w:uiPriority w:val="157"/>
    <w:rPr>
      <w:rFonts w:hint="eastAsia" w:ascii="宋体" w:hAnsi="Courier New" w:eastAsia="宋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4</Pages>
  <Words>1489</Words>
  <Characters>1822</Characters>
  <Lines>2</Lines>
  <Paragraphs>1</Paragraphs>
  <TotalTime>1</TotalTime>
  <ScaleCrop>false</ScaleCrop>
  <LinksUpToDate>false</LinksUpToDate>
  <CharactersWithSpaces>1852</CharactersWithSpaces>
  <Application>WPS Office_11.1.0.11215_F1E327BC-269C-435d-A152-05C5408002CA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2022-08-15T09:06:00Z</dcterms:created>
  <dc:creator>微软用户</dc:creator>
  <cp:lastModifiedBy>匡吉文</cp:lastModifiedBy>
  <dcterms:modified xsi:type="dcterms:W3CDTF">2022-09-16T23:13:51Z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2052-11.1.0.11215</vt:lpwstr>
  </property>
  <property fmtid="{D5CDD505-2E9C-101B-9397-08002B2CF9AE}" pid="3" name="ICV">
    <vt:lpwstr>133EF6E8ABF645DDBB033CF28FC311AC</vt:lpwstr>
  </property>
</Properties>
</file>