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0569-2022-QJEO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四川轩城首创建设工程有限公司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四川轩城首创建设工程有限公司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四川省德阳市旌阳区黄许镇金桥村2组</w:t>
            </w:r>
            <w:bookmarkEnd w:id="5"/>
          </w:p>
        </w:tc>
        <w:tc>
          <w:tcPr>
            <w:tcW w:w="1242" w:type="dxa"/>
            <w:vMerge w:val="restart"/>
            <w:vAlign w:val="center"/>
          </w:tcPr>
          <w:p>
            <w:r>
              <w:rPr>
                <w:rFonts w:hint="eastAsia"/>
              </w:rPr>
              <w:t>邮编</w:t>
            </w:r>
          </w:p>
        </w:tc>
        <w:tc>
          <w:tcPr>
            <w:tcW w:w="1771" w:type="dxa"/>
          </w:tcPr>
          <w:p>
            <w:bookmarkStart w:id="6" w:name="注册邮编"/>
            <w:r>
              <w:t>618007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四川省德阳市旌阳区黄许镇金桥村2组</w:t>
            </w:r>
            <w:bookmarkEnd w:id="7"/>
          </w:p>
        </w:tc>
        <w:tc>
          <w:tcPr>
            <w:tcW w:w="1242" w:type="dxa"/>
            <w:vMerge w:val="continue"/>
            <w:vAlign w:val="center"/>
          </w:tcPr>
          <w:p/>
        </w:tc>
        <w:tc>
          <w:tcPr>
            <w:tcW w:w="1771" w:type="dxa"/>
          </w:tcPr>
          <w:p>
            <w:bookmarkStart w:id="8" w:name="办公邮编"/>
            <w:r>
              <w:t>618007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何围</w:t>
            </w:r>
            <w:bookmarkEnd w:id="9"/>
          </w:p>
        </w:tc>
        <w:tc>
          <w:tcPr>
            <w:tcW w:w="1313" w:type="dxa"/>
            <w:vAlign w:val="center"/>
          </w:tcPr>
          <w:p>
            <w:r>
              <w:rPr>
                <w:rFonts w:hint="eastAsia"/>
              </w:rPr>
              <w:t>电话.</w:t>
            </w:r>
          </w:p>
        </w:tc>
        <w:tc>
          <w:tcPr>
            <w:tcW w:w="2180" w:type="dxa"/>
            <w:vAlign w:val="center"/>
          </w:tcPr>
          <w:p>
            <w:bookmarkStart w:id="10" w:name="联系人电话"/>
            <w:r>
              <w:t>13340871320</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李维</w:t>
            </w:r>
            <w:bookmarkEnd w:id="12"/>
          </w:p>
        </w:tc>
        <w:tc>
          <w:tcPr>
            <w:tcW w:w="1313" w:type="dxa"/>
            <w:vAlign w:val="center"/>
          </w:tcPr>
          <w:p>
            <w:r>
              <w:rPr>
                <w:rFonts w:hint="eastAsia"/>
              </w:rPr>
              <w:t>管理者代表</w:t>
            </w:r>
          </w:p>
        </w:tc>
        <w:tc>
          <w:tcPr>
            <w:tcW w:w="2180" w:type="dxa"/>
          </w:tcPr>
          <w:p>
            <w:bookmarkStart w:id="13" w:name="管理者代表"/>
            <w:r>
              <w:t>邱斌</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color w:val="000000"/>
                <w:szCs w:val="18"/>
                <w:lang w:val="en-US" w:eastAsia="zh-CN"/>
              </w:rPr>
            </w:pPr>
            <w:r>
              <w:rPr>
                <w:rFonts w:hint="eastAsia"/>
                <w:color w:val="000000"/>
                <w:szCs w:val="18"/>
                <w:lang w:val="en-US" w:eastAsia="zh-CN"/>
              </w:rPr>
              <w:t>合同评审—资源配置—资料收集—编制施工组织设计—进行施工—过程控制及验收—竣工验收—交付后活动</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2022年08月15日 下午至2022年08月17日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四川省德阳市旌阳区黄许镇金桥村2组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EC：资质范围内的建筑工程、市政公用工程、石油化工工程（含压力管道的安装）总承包</w:t>
            </w:r>
          </w:p>
          <w:p>
            <w:r>
              <w:t>E：资质范围内的建筑工程、市政公用工程、石油化工工程（含压力管道的安装）总承包所涉及场所的相关环境管理活动</w:t>
            </w:r>
          </w:p>
          <w:p>
            <w:r>
              <w:t>O：资质范围内的建筑工程、市政公用工程、石油化工工程（含压力管道的安装）总承包所涉及场所的相关职业健康安全管理活动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EC：28.02.00;28.04.01;28.07.02;28.07.03A</w:t>
            </w:r>
          </w:p>
          <w:p>
            <w:r>
              <w:t>E：28.02.00;28.04.01;28.07.02;28.07.03</w:t>
            </w:r>
          </w:p>
          <w:p>
            <w:r>
              <w:t>O：28.02.00;28.04.01;28.07.02;28.07.03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43"/>
        <w:gridCol w:w="491"/>
        <w:gridCol w:w="2454"/>
        <w:gridCol w:w="182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43" w:type="dxa"/>
            <w:shd w:val="clear" w:color="auto" w:fill="F3F3F3"/>
            <w:tcMar>
              <w:left w:w="57" w:type="dxa"/>
              <w:right w:w="57" w:type="dxa"/>
            </w:tcMar>
          </w:tcPr>
          <w:p>
            <w:r>
              <w:rPr>
                <w:rFonts w:hint="eastAsia"/>
              </w:rPr>
              <w:t>经营场所的地址</w:t>
            </w:r>
          </w:p>
          <w:p>
            <w:r>
              <w:rPr>
                <w:rFonts w:hint="eastAsia"/>
              </w:rPr>
              <w:t>（多现场和临时现场）</w:t>
            </w:r>
          </w:p>
        </w:tc>
        <w:tc>
          <w:tcPr>
            <w:tcW w:w="491" w:type="dxa"/>
            <w:shd w:val="clear" w:color="auto" w:fill="F3F3F3"/>
            <w:tcMar>
              <w:left w:w="57" w:type="dxa"/>
              <w:right w:w="57" w:type="dxa"/>
            </w:tcMar>
          </w:tcPr>
          <w:p>
            <w:r>
              <w:rPr>
                <w:rFonts w:hint="eastAsia"/>
              </w:rPr>
              <w:t>员工人数</w:t>
            </w:r>
          </w:p>
        </w:tc>
        <w:tc>
          <w:tcPr>
            <w:tcW w:w="2454" w:type="dxa"/>
            <w:shd w:val="clear" w:color="auto" w:fill="F3F3F3"/>
            <w:tcMar>
              <w:left w:w="57" w:type="dxa"/>
              <w:right w:w="57" w:type="dxa"/>
            </w:tcMar>
          </w:tcPr>
          <w:p>
            <w:r>
              <w:rPr>
                <w:rFonts w:hint="eastAsia"/>
              </w:rPr>
              <w:t>审核范围（产品和过程）</w:t>
            </w:r>
          </w:p>
          <w:p/>
          <w:p/>
        </w:tc>
        <w:tc>
          <w:tcPr>
            <w:tcW w:w="182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rFonts w:hint="eastAsia"/>
                <w:lang w:eastAsia="zh-CN"/>
              </w:rPr>
              <w:t>四川轩城首创建设工程有限公司</w:t>
            </w:r>
            <w:r>
              <w:rPr>
                <w:rFonts w:hint="eastAsia"/>
                <w:lang w:val="en-US" w:eastAsia="zh-CN"/>
              </w:rPr>
              <w:t>/</w:t>
            </w:r>
            <w:r>
              <w:rPr>
                <w:rFonts w:hint="eastAsia"/>
                <w:lang w:eastAsia="zh-CN"/>
              </w:rPr>
              <w:t>四川省德阳市旌阳区黄许镇金桥村2组</w:t>
            </w:r>
          </w:p>
        </w:tc>
        <w:tc>
          <w:tcPr>
            <w:tcW w:w="1543" w:type="dxa"/>
            <w:vAlign w:val="top"/>
          </w:tcPr>
          <w:p>
            <w:pPr>
              <w:rPr>
                <w:rFonts w:hint="eastAsia" w:ascii="Times New Roman" w:hAnsi="Times New Roman" w:eastAsia="宋体" w:cs="Times New Roman"/>
                <w:kern w:val="2"/>
                <w:sz w:val="21"/>
                <w:szCs w:val="24"/>
                <w:lang w:val="de-DE" w:eastAsia="ja-JP" w:bidi="ar-SA"/>
              </w:rPr>
            </w:pPr>
            <w:r>
              <w:rPr>
                <w:rFonts w:hint="eastAsia"/>
                <w:lang w:eastAsia="zh-CN"/>
              </w:rPr>
              <w:t>四川省德阳市旌阳区黄许镇金桥村2组</w:t>
            </w:r>
          </w:p>
        </w:tc>
        <w:tc>
          <w:tcPr>
            <w:tcW w:w="491" w:type="dxa"/>
            <w:vAlign w:val="center"/>
          </w:tcPr>
          <w:p>
            <w:pPr>
              <w:jc w:val="center"/>
              <w:rPr>
                <w:rFonts w:hint="default" w:ascii="Times New Roman" w:hAnsi="Times New Roman" w:eastAsia="宋体" w:cs="Times New Roman"/>
                <w:kern w:val="2"/>
                <w:sz w:val="21"/>
                <w:szCs w:val="24"/>
                <w:lang w:val="en-US" w:eastAsia="ja-JP" w:bidi="ar-SA"/>
              </w:rPr>
            </w:pPr>
            <w:r>
              <w:rPr>
                <w:rFonts w:hint="eastAsia"/>
                <w:lang w:val="en-US" w:eastAsia="zh-CN"/>
              </w:rPr>
              <w:t>51</w:t>
            </w:r>
          </w:p>
        </w:tc>
        <w:tc>
          <w:tcPr>
            <w:tcW w:w="2454" w:type="dxa"/>
            <w:vAlign w:val="center"/>
          </w:tcPr>
          <w:p>
            <w:pPr>
              <w:rPr>
                <w:rFonts w:ascii="Times New Roman" w:hAnsi="Times New Roman" w:eastAsia="宋体" w:cs="Times New Roman"/>
                <w:kern w:val="2"/>
                <w:sz w:val="21"/>
                <w:szCs w:val="24"/>
                <w:lang w:val="en-US" w:eastAsia="ja-JP" w:bidi="ar-SA"/>
              </w:rPr>
            </w:pPr>
            <w:r>
              <w:rPr>
                <w:rFonts w:hint="eastAsia"/>
                <w:sz w:val="20"/>
                <w:lang w:eastAsia="zh-CN"/>
              </w:rPr>
              <w:t>资质范围内的建筑工程、市政公用工程、石油化工工程（含压力管道的安装）总承包</w:t>
            </w:r>
          </w:p>
        </w:tc>
        <w:tc>
          <w:tcPr>
            <w:tcW w:w="1822" w:type="dxa"/>
            <w:vAlign w:val="center"/>
          </w:tcPr>
          <w:p>
            <w:pPr>
              <w:rPr>
                <w:rFonts w:hint="eastAsia" w:ascii="宋体" w:hAnsi="宋体"/>
                <w:b/>
                <w:sz w:val="21"/>
                <w:szCs w:val="21"/>
              </w:rPr>
            </w:pPr>
            <w:r>
              <w:rPr>
                <w:rFonts w:hint="eastAsia" w:ascii="宋体" w:hAnsi="宋体"/>
                <w:b/>
                <w:sz w:val="21"/>
                <w:szCs w:val="21"/>
              </w:rPr>
              <w:t>GB/T19001-2016</w:t>
            </w:r>
          </w:p>
          <w:p>
            <w:pPr>
              <w:rPr>
                <w:rFonts w:hint="eastAsia" w:ascii="宋体" w:hAnsi="宋体"/>
                <w:b/>
                <w:sz w:val="21"/>
                <w:szCs w:val="21"/>
              </w:rPr>
            </w:pPr>
            <w:r>
              <w:rPr>
                <w:rFonts w:hint="eastAsia" w:ascii="宋体" w:hAnsi="宋体"/>
                <w:b/>
                <w:sz w:val="21"/>
                <w:szCs w:val="21"/>
              </w:rPr>
              <w:t>GB/T50430-2017</w:t>
            </w:r>
          </w:p>
          <w:p>
            <w:pPr>
              <w:rPr>
                <w:rFonts w:hint="eastAsia" w:ascii="宋体" w:hAnsi="宋体"/>
                <w:b/>
                <w:sz w:val="21"/>
                <w:szCs w:val="21"/>
              </w:rPr>
            </w:pPr>
            <w:r>
              <w:rPr>
                <w:rFonts w:hint="eastAsia" w:ascii="宋体" w:hAnsi="宋体"/>
                <w:b/>
                <w:sz w:val="21"/>
                <w:szCs w:val="21"/>
              </w:rPr>
              <w:t>GB/T24001-2016</w:t>
            </w:r>
          </w:p>
          <w:p>
            <w:pPr>
              <w:rPr>
                <w:rFonts w:hint="eastAsia" w:ascii="Times New Roman" w:hAnsi="Times New Roman" w:eastAsia="宋体" w:cs="Times New Roman"/>
                <w:kern w:val="2"/>
                <w:sz w:val="21"/>
                <w:szCs w:val="24"/>
                <w:lang w:val="en-US" w:eastAsia="ja-JP" w:bidi="ar-SA"/>
              </w:rPr>
            </w:pPr>
            <w:r>
              <w:rPr>
                <w:rFonts w:hint="eastAsia" w:ascii="宋体" w:hAnsi="宋体"/>
                <w:b/>
                <w:sz w:val="21"/>
                <w:szCs w:val="21"/>
              </w:rPr>
              <w:t>GB/T45001-2020</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ascii="Times New Roman" w:hAnsi="Times New Roman" w:eastAsia="宋体" w:cs="Times New Roman"/>
                <w:color w:val="000000"/>
                <w:kern w:val="2"/>
                <w:sz w:val="21"/>
                <w:szCs w:val="24"/>
                <w:lang w:val="en-US" w:eastAsia="ja-JP" w:bidi="ar-SA"/>
              </w:rPr>
              <w:t>德阳高新区新青线120-141号桩段输气管道迁改项目(白琮路)</w:t>
            </w:r>
          </w:p>
        </w:tc>
        <w:tc>
          <w:tcPr>
            <w:tcW w:w="1543" w:type="dxa"/>
            <w:vAlign w:val="center"/>
          </w:tcPr>
          <w:p>
            <w:pPr>
              <w:jc w:val="center"/>
              <w:rPr>
                <w:rFonts w:hint="default" w:ascii="Times New Roman" w:hAnsi="Times New Roman" w:eastAsia="宋体" w:cs="Times New Roman"/>
                <w:color w:val="000000"/>
                <w:kern w:val="2"/>
                <w:sz w:val="21"/>
                <w:szCs w:val="24"/>
                <w:lang w:val="en-US" w:eastAsia="ja-JP" w:bidi="ar-SA"/>
              </w:rPr>
            </w:pPr>
            <w:r>
              <w:rPr>
                <w:rFonts w:hint="default" w:ascii="Times New Roman" w:hAnsi="Times New Roman" w:eastAsia="宋体" w:cs="Times New Roman"/>
                <w:color w:val="000000"/>
                <w:kern w:val="2"/>
                <w:sz w:val="21"/>
                <w:szCs w:val="24"/>
                <w:lang w:val="en-US" w:eastAsia="ja-JP" w:bidi="ar-SA"/>
              </w:rPr>
              <w:t>德阳市广汉市高新区</w:t>
            </w:r>
          </w:p>
        </w:tc>
        <w:tc>
          <w:tcPr>
            <w:tcW w:w="491" w:type="dxa"/>
            <w:vAlign w:val="center"/>
          </w:tcPr>
          <w:p>
            <w:pPr>
              <w:pStyle w:val="25"/>
              <w:jc w:val="center"/>
              <w:rPr>
                <w:rFonts w:hint="eastAsia" w:ascii="Times New Roman" w:hAnsi="Times New Roman" w:eastAsia="宋体" w:cs="Times New Roman"/>
                <w:color w:val="000000"/>
                <w:kern w:val="2"/>
                <w:sz w:val="21"/>
                <w:szCs w:val="24"/>
                <w:lang w:val="en-US" w:eastAsia="ja-JP" w:bidi="ar-SA"/>
              </w:rPr>
            </w:pPr>
            <w:r>
              <w:rPr>
                <w:rFonts w:hint="eastAsia" w:ascii="Times New Roman" w:hAnsi="宋体" w:eastAsia="宋体" w:cs="宋体"/>
                <w:kern w:val="2"/>
                <w:sz w:val="20"/>
                <w:szCs w:val="22"/>
                <w:lang w:val="en-US" w:eastAsia="zh-CN" w:bidi="zh-CN"/>
              </w:rPr>
              <w:t>12</w:t>
            </w:r>
          </w:p>
        </w:tc>
        <w:tc>
          <w:tcPr>
            <w:tcW w:w="2454" w:type="dxa"/>
            <w:vAlign w:val="center"/>
          </w:tcPr>
          <w:p>
            <w:pPr>
              <w:jc w:val="center"/>
              <w:rPr>
                <w:rFonts w:hint="default" w:ascii="Times New Roman" w:hAnsi="Times New Roman" w:eastAsia="宋体" w:cs="Times New Roman"/>
                <w:color w:val="000000"/>
                <w:kern w:val="2"/>
                <w:sz w:val="21"/>
                <w:szCs w:val="24"/>
                <w:lang w:val="en-US" w:eastAsia="ja-JP" w:bidi="ar-SA"/>
              </w:rPr>
            </w:pPr>
            <w:r>
              <w:rPr>
                <w:rFonts w:hint="eastAsia"/>
                <w:sz w:val="20"/>
                <w:lang w:eastAsia="zh-CN"/>
              </w:rPr>
              <w:t>资质范围内的市政公用工程、石油化工工程（含压力管道的安装）总承包</w:t>
            </w:r>
          </w:p>
        </w:tc>
        <w:tc>
          <w:tcPr>
            <w:tcW w:w="1822" w:type="dxa"/>
            <w:vAlign w:val="center"/>
          </w:tcPr>
          <w:p>
            <w:pPr>
              <w:rPr>
                <w:rFonts w:hint="eastAsia" w:ascii="宋体" w:hAnsi="宋体"/>
                <w:b/>
                <w:sz w:val="21"/>
                <w:szCs w:val="21"/>
              </w:rPr>
            </w:pPr>
            <w:r>
              <w:rPr>
                <w:rFonts w:hint="eastAsia" w:ascii="宋体" w:hAnsi="宋体"/>
                <w:b/>
                <w:sz w:val="21"/>
                <w:szCs w:val="21"/>
              </w:rPr>
              <w:t>GB/T19001-2016</w:t>
            </w:r>
          </w:p>
          <w:p>
            <w:pPr>
              <w:rPr>
                <w:rFonts w:hint="eastAsia" w:ascii="宋体" w:hAnsi="宋体"/>
                <w:b/>
                <w:sz w:val="21"/>
                <w:szCs w:val="21"/>
              </w:rPr>
            </w:pPr>
            <w:r>
              <w:rPr>
                <w:rFonts w:hint="eastAsia" w:ascii="宋体" w:hAnsi="宋体"/>
                <w:b/>
                <w:sz w:val="21"/>
                <w:szCs w:val="21"/>
              </w:rPr>
              <w:t>GB/T50430-2017</w:t>
            </w:r>
          </w:p>
          <w:p>
            <w:pPr>
              <w:rPr>
                <w:rFonts w:hint="eastAsia" w:ascii="宋体" w:hAnsi="宋体"/>
                <w:b/>
                <w:sz w:val="21"/>
                <w:szCs w:val="21"/>
              </w:rPr>
            </w:pPr>
            <w:r>
              <w:rPr>
                <w:rFonts w:hint="eastAsia" w:ascii="宋体" w:hAnsi="宋体"/>
                <w:b/>
                <w:sz w:val="21"/>
                <w:szCs w:val="21"/>
              </w:rPr>
              <w:t>GB/T24001-2016</w:t>
            </w:r>
          </w:p>
          <w:p>
            <w:pPr>
              <w:rPr>
                <w:rFonts w:ascii="Times New Roman" w:hAnsi="Times New Roman" w:eastAsia="宋体" w:cs="Times New Roman"/>
                <w:kern w:val="2"/>
                <w:sz w:val="21"/>
                <w:szCs w:val="24"/>
                <w:lang w:val="en-US" w:eastAsia="ja-JP" w:bidi="ar-SA"/>
              </w:rPr>
            </w:pPr>
            <w:r>
              <w:rPr>
                <w:rFonts w:hint="eastAsia" w:ascii="宋体" w:hAnsi="宋体"/>
                <w:b/>
                <w:sz w:val="21"/>
                <w:szCs w:val="21"/>
              </w:rPr>
              <w:t>GB/T45001-2020</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ascii="Times New Roman" w:hAnsi="Times New Roman" w:eastAsia="宋体" w:cs="Times New Roman"/>
                <w:color w:val="000000"/>
                <w:kern w:val="2"/>
                <w:sz w:val="21"/>
                <w:szCs w:val="24"/>
                <w:lang w:val="en-US" w:eastAsia="ja-JP" w:bidi="ar-SA"/>
              </w:rPr>
              <w:t>抛光公用设施建设工程施工</w:t>
            </w:r>
          </w:p>
        </w:tc>
        <w:tc>
          <w:tcPr>
            <w:tcW w:w="1543"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ascii="Times New Roman" w:hAnsi="Times New Roman" w:eastAsia="宋体" w:cs="Times New Roman"/>
                <w:color w:val="000000"/>
                <w:kern w:val="2"/>
                <w:sz w:val="21"/>
                <w:szCs w:val="24"/>
                <w:lang w:val="en-US" w:eastAsia="ja-JP" w:bidi="ar-SA"/>
              </w:rPr>
              <w:t>德阳市八角镇</w:t>
            </w:r>
          </w:p>
        </w:tc>
        <w:tc>
          <w:tcPr>
            <w:tcW w:w="491" w:type="dxa"/>
            <w:vAlign w:val="center"/>
          </w:tcPr>
          <w:p>
            <w:pPr>
              <w:pStyle w:val="25"/>
              <w:jc w:val="center"/>
              <w:rPr>
                <w:rFonts w:hint="default" w:ascii="Times New Roman" w:hAnsi="Times New Roman" w:eastAsia="宋体" w:cs="Times New Roman"/>
                <w:color w:val="000000"/>
                <w:kern w:val="2"/>
                <w:sz w:val="21"/>
                <w:szCs w:val="24"/>
                <w:lang w:val="en-US" w:eastAsia="ja-JP" w:bidi="ar-SA"/>
              </w:rPr>
            </w:pPr>
            <w:r>
              <w:rPr>
                <w:rFonts w:hint="eastAsia" w:ascii="Times New Roman"/>
                <w:sz w:val="20"/>
                <w:lang w:val="en-US" w:eastAsia="zh-CN"/>
              </w:rPr>
              <w:t>30</w:t>
            </w:r>
          </w:p>
        </w:tc>
        <w:tc>
          <w:tcPr>
            <w:tcW w:w="2454"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sz w:val="20"/>
                <w:lang w:eastAsia="zh-CN"/>
              </w:rPr>
              <w:t>资质范围内的建筑工程总承包</w:t>
            </w:r>
          </w:p>
        </w:tc>
        <w:tc>
          <w:tcPr>
            <w:tcW w:w="1822" w:type="dxa"/>
            <w:vAlign w:val="center"/>
          </w:tcPr>
          <w:p>
            <w:pPr>
              <w:rPr>
                <w:rFonts w:hint="eastAsia" w:ascii="宋体" w:hAnsi="宋体"/>
                <w:b/>
                <w:sz w:val="21"/>
                <w:szCs w:val="21"/>
              </w:rPr>
            </w:pPr>
            <w:r>
              <w:rPr>
                <w:rFonts w:hint="eastAsia" w:ascii="宋体" w:hAnsi="宋体"/>
                <w:b/>
                <w:sz w:val="21"/>
                <w:szCs w:val="21"/>
              </w:rPr>
              <w:t>GB/T19001-2016</w:t>
            </w:r>
          </w:p>
          <w:p>
            <w:pPr>
              <w:rPr>
                <w:rFonts w:hint="eastAsia" w:ascii="宋体" w:hAnsi="宋体"/>
                <w:b/>
                <w:sz w:val="21"/>
                <w:szCs w:val="21"/>
              </w:rPr>
            </w:pPr>
            <w:r>
              <w:rPr>
                <w:rFonts w:hint="eastAsia" w:ascii="宋体" w:hAnsi="宋体"/>
                <w:b/>
                <w:sz w:val="21"/>
                <w:szCs w:val="21"/>
              </w:rPr>
              <w:t>GB/T50430-2017</w:t>
            </w:r>
          </w:p>
          <w:p>
            <w:pPr>
              <w:rPr>
                <w:rFonts w:hint="eastAsia" w:ascii="宋体" w:hAnsi="宋体"/>
                <w:b/>
                <w:sz w:val="21"/>
                <w:szCs w:val="21"/>
              </w:rPr>
            </w:pPr>
            <w:r>
              <w:rPr>
                <w:rFonts w:hint="eastAsia" w:ascii="宋体" w:hAnsi="宋体"/>
                <w:b/>
                <w:sz w:val="21"/>
                <w:szCs w:val="21"/>
              </w:rPr>
              <w:t>GB/T24001-2016</w:t>
            </w:r>
          </w:p>
          <w:p>
            <w:pPr>
              <w:rPr>
                <w:rFonts w:ascii="Times New Roman" w:hAnsi="Times New Roman" w:eastAsia="宋体" w:cs="Times New Roman"/>
                <w:kern w:val="2"/>
                <w:sz w:val="21"/>
                <w:szCs w:val="24"/>
                <w:lang w:val="en-US" w:eastAsia="ja-JP" w:bidi="ar-SA"/>
              </w:rPr>
            </w:pPr>
            <w:r>
              <w:rPr>
                <w:rFonts w:hint="eastAsia" w:ascii="宋体" w:hAnsi="宋体"/>
                <w:b/>
                <w:sz w:val="21"/>
                <w:szCs w:val="21"/>
              </w:rPr>
              <w:t>GB/T45001-2020</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ascii="宋体" w:hAnsi="宋体"/>
                <w:b/>
                <w:sz w:val="21"/>
                <w:szCs w:val="21"/>
                <w:lang w:eastAsia="zh-CN"/>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EC:28.02.00,28.04.01,28.07.02,28.07.03A</w:t>
            </w:r>
          </w:p>
          <w:p>
            <w:r>
              <w:t>E:28.02.00,28.04.01,28.07.02,28.07.03</w:t>
            </w:r>
          </w:p>
          <w:p>
            <w:r>
              <w:t>O:28.02.00,28.04.01,28.07.02,28.07.03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lang w:eastAsia="zh-CN"/>
              </w:rPr>
              <w:t>资质范围内的建筑工程、市政公用工程、石油化工工程（含压力管道的安装）总承包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lang w:eastAsia="zh-CN"/>
              </w:rPr>
              <w:t>资质范围内的建筑工程、市政公用工程、石油化工工程（含压力管道的安装）总承包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rPr>
                <w:rFonts w:ascii="宋体" w:hAnsi="宋体" w:eastAsia="宋体" w:cs="Times New Roman"/>
                <w:b/>
                <w:color w:val="000000"/>
                <w:kern w:val="2"/>
                <w:sz w:val="21"/>
                <w:szCs w:val="21"/>
                <w:lang w:val="en-US" w:eastAsia="zh-CN" w:bidi="ar-SA"/>
              </w:rPr>
            </w:pPr>
            <w:r>
              <w:rPr>
                <w:rFonts w:hint="eastAsia"/>
                <w:lang w:eastAsia="zh-CN"/>
              </w:rPr>
              <w:t>资质范围内的建筑工程、市政公用工程、石油化工工程（含压力管道的安装）总承包</w:t>
            </w:r>
            <w: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rPr>
                <w:rFonts w:hint="eastAsia"/>
                <w:lang w:eastAsia="zh-CN"/>
              </w:rPr>
              <w:t>资质范围内的建筑工程、市政公用工程、石油化工工程（含压力管道的安装）总承包</w:t>
            </w:r>
            <w: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347980</wp:posOffset>
                  </wp:positionH>
                  <wp:positionV relativeFrom="paragraph">
                    <wp:posOffset>78105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2022.8.17</w:t>
            </w:r>
          </w:p>
        </w:tc>
      </w:tr>
    </w:tbl>
    <w:p/>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最高管理者制定了文件化的管理体系方针：争创行业先进，造就精品工程；服务社会民生，保证顾客满意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ascii="宋体" w:hAnsi="宋体" w:cs="宋体"/>
                      <w:color w:val="000000"/>
                      <w:szCs w:val="24"/>
                    </w:rPr>
                    <w:t>竞争风险</w:t>
                  </w:r>
                </w:p>
              </w:tc>
              <w:tc>
                <w:tcPr>
                  <w:tcW w:w="3965" w:type="dxa"/>
                  <w:vAlign w:val="top"/>
                </w:tcPr>
                <w:p>
                  <w:pPr>
                    <w:shd w:val="clear" w:color="auto" w:fill="C7DAF1" w:themeFill="text2" w:themeFillTint="32"/>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ascii="宋体" w:hAnsi="宋体" w:cs="宋体"/>
                      <w:color w:val="000000"/>
                      <w:szCs w:val="24"/>
                    </w:rPr>
                    <w:t>人力资源风险</w:t>
                  </w:r>
                </w:p>
              </w:tc>
              <w:tc>
                <w:tcPr>
                  <w:tcW w:w="3965" w:type="dxa"/>
                  <w:vAlign w:val="top"/>
                </w:tcPr>
                <w:p>
                  <w:pPr>
                    <w:shd w:val="clear" w:color="auto" w:fill="C7DAF1" w:themeFill="text2" w:themeFillTint="32"/>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52"/>
              <w:gridCol w:w="113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35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3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顾客满意度≥90分</w:t>
                  </w:r>
                </w:p>
              </w:tc>
              <w:tc>
                <w:tcPr>
                  <w:tcW w:w="3352" w:type="dxa"/>
                  <w:shd w:val="clear" w:color="auto" w:fill="auto"/>
                  <w:vAlign w:val="top"/>
                </w:tcPr>
                <w:p>
                  <w:pPr>
                    <w:widowControl/>
                    <w:spacing w:before="40"/>
                    <w:jc w:val="left"/>
                    <w:rPr>
                      <w:rFonts w:hint="eastAsia" w:ascii="Times New Roman" w:hAnsi="Times New Roman" w:eastAsia="宋体" w:cs="Times New Roman"/>
                      <w:color w:val="000000"/>
                      <w:szCs w:val="18"/>
                      <w:lang w:val="en-GB" w:eastAsia="zh-CN"/>
                    </w:rPr>
                  </w:pPr>
                  <w:r>
                    <w:rPr>
                      <w:rFonts w:hint="eastAsia" w:ascii="Times New Roman" w:hAnsi="Times New Roman" w:eastAsia="宋体" w:cs="Times New Roman"/>
                      <w:color w:val="000000"/>
                      <w:szCs w:val="18"/>
                      <w:lang w:val="en-US" w:eastAsia="zh-CN"/>
                    </w:rPr>
                    <w:t>查客户满意率平均值</w:t>
                  </w:r>
                </w:p>
              </w:tc>
              <w:tc>
                <w:tcPr>
                  <w:tcW w:w="1134" w:type="dxa"/>
                  <w:shd w:val="clear" w:color="auto" w:fill="auto"/>
                  <w:vAlign w:val="center"/>
                </w:tcPr>
                <w:p>
                  <w:pPr>
                    <w:widowControl/>
                    <w:spacing w:before="40"/>
                    <w:jc w:val="left"/>
                    <w:rPr>
                      <w:rFonts w:hint="eastAsia" w:ascii="Times New Roman" w:hAnsi="Times New Roman" w:eastAsia="宋体" w:cs="Times New Roman"/>
                      <w:color w:val="000000"/>
                      <w:szCs w:val="18"/>
                      <w:lang w:val="en-GB" w:eastAsia="zh-CN"/>
                    </w:rPr>
                  </w:pPr>
                  <w:r>
                    <w:rPr>
                      <w:rFonts w:hint="eastAsia" w:ascii="Times New Roman" w:hAnsi="Times New Roman" w:eastAsia="宋体" w:cs="Times New Roman"/>
                      <w:color w:val="000000"/>
                      <w:szCs w:val="18"/>
                      <w:lang w:val="en-GB" w:eastAsia="zh-CN"/>
                    </w:rPr>
                    <w:t>市场部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szCs w:val="18"/>
                      <w:lang w:val="en-GB" w:eastAsia="zh-CN"/>
                    </w:rPr>
                  </w:pPr>
                  <w:r>
                    <w:rPr>
                      <w:rFonts w:hint="eastAsia" w:cs="Times New Roman"/>
                      <w:color w:val="000000"/>
                      <w:szCs w:val="18"/>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工程项目验收合格率95%</w:t>
                  </w:r>
                </w:p>
              </w:tc>
              <w:tc>
                <w:tcPr>
                  <w:tcW w:w="3352" w:type="dxa"/>
                  <w:shd w:val="clear" w:color="auto" w:fill="auto"/>
                  <w:vAlign w:val="top"/>
                </w:tcPr>
                <w:p>
                  <w:pPr>
                    <w:widowControl/>
                    <w:spacing w:before="40"/>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工程项目验收合格数/工程验收总数*100%</w:t>
                  </w:r>
                </w:p>
              </w:tc>
              <w:tc>
                <w:tcPr>
                  <w:tcW w:w="1134" w:type="dxa"/>
                  <w:shd w:val="clear" w:color="auto" w:fill="auto"/>
                  <w:vAlign w:val="center"/>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工程部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352" w:type="dxa"/>
                  <w:shd w:val="clear" w:color="auto" w:fill="auto"/>
                  <w:vAlign w:val="center"/>
                </w:tcPr>
                <w:p>
                  <w:pPr>
                    <w:shd w:val="clear" w:color="auto" w:fill="C7DAF1" w:themeFill="text2" w:themeFillTint="32"/>
                    <w:rPr>
                      <w:rFonts w:ascii="宋体" w:hAnsi="宋体"/>
                    </w:rPr>
                  </w:pPr>
                </w:p>
              </w:tc>
              <w:tc>
                <w:tcPr>
                  <w:tcW w:w="1134"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352" w:type="dxa"/>
                  <w:shd w:val="clear" w:color="auto" w:fill="auto"/>
                  <w:vAlign w:val="center"/>
                </w:tcPr>
                <w:p>
                  <w:pPr>
                    <w:shd w:val="clear" w:color="auto" w:fill="C7DAF1" w:themeFill="text2" w:themeFillTint="32"/>
                    <w:rPr>
                      <w:rFonts w:ascii="宋体" w:hAnsi="宋体"/>
                    </w:rPr>
                  </w:pPr>
                </w:p>
              </w:tc>
              <w:tc>
                <w:tcPr>
                  <w:tcW w:w="1134"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352" w:type="dxa"/>
                  <w:shd w:val="clear" w:color="auto" w:fill="auto"/>
                  <w:vAlign w:val="center"/>
                </w:tcPr>
                <w:p>
                  <w:pPr>
                    <w:shd w:val="clear" w:color="auto" w:fill="C7DAF1" w:themeFill="text2" w:themeFillTint="32"/>
                    <w:rPr>
                      <w:rFonts w:ascii="宋体" w:hAnsi="宋体"/>
                    </w:rPr>
                  </w:pPr>
                </w:p>
              </w:tc>
              <w:tc>
                <w:tcPr>
                  <w:tcW w:w="1134"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建筑面积1100平方米；生产车间0个；库房0个；实验室0个</w:t>
            </w:r>
            <w:r>
              <w:rPr>
                <w:rFonts w:hint="eastAsia"/>
              </w:rPr>
              <w:t>；</w:t>
            </w:r>
          </w:p>
          <w:p>
            <w:pPr>
              <w:shd w:val="clear" w:color="auto" w:fill="C7DAF1" w:themeFill="text2" w:themeFillTint="32"/>
              <w:rPr>
                <w:rFonts w:hint="eastAsia" w:eastAsia="宋体"/>
                <w:u w:val="single"/>
                <w:lang w:eastAsia="zh-CN"/>
              </w:rPr>
            </w:pPr>
            <w:r>
              <w:rPr>
                <w:rFonts w:hint="eastAsia"/>
                <w:lang w:eastAsia="zh-CN"/>
              </w:rPr>
              <w:t>主要生产设备有：（混凝土搅拌机、砂浆搅拌机、磨石机、钢筋切断机、圆盘锯、拉丝机等）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lang w:eastAsia="zh-CN"/>
              </w:rPr>
              <w:t>国家强检的计量器具有：（电火花检漏仪、便携式硬度计、防腐层检漏仪、全站仪、水平尺等）</w:t>
            </w:r>
          </w:p>
          <w:p>
            <w:pPr>
              <w:shd w:val="clear" w:color="auto" w:fill="C7DAF1" w:themeFill="text2" w:themeFillTint="32"/>
              <w:rPr>
                <w:rFonts w:hint="eastAsia"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未进行定期校准/检定的有：焊接检验尺、红外线测温仪、地面检漏仪</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资质范围内的建筑工程、市政公用工程、石油化工工程（含压力管道的安装）总承包</w:t>
                  </w:r>
                </w:p>
              </w:tc>
              <w:tc>
                <w:tcPr>
                  <w:tcW w:w="3665" w:type="dxa"/>
                </w:tcPr>
                <w:p>
                  <w:pPr>
                    <w:shd w:val="clear" w:color="auto" w:fill="C7DAF1" w:themeFill="text2" w:themeFillTint="32"/>
                    <w:jc w:val="left"/>
                  </w:pPr>
                  <w:r>
                    <w:rPr>
                      <w:rFonts w:hint="eastAsia"/>
                    </w:rPr>
                    <w:t>焊接、防水施工、隐蔽工程施工</w:t>
                  </w:r>
                </w:p>
              </w:tc>
              <w:tc>
                <w:tcPr>
                  <w:tcW w:w="3265" w:type="dxa"/>
                </w:tcPr>
                <w:p>
                  <w:pPr>
                    <w:shd w:val="clear" w:color="auto" w:fill="C7DAF1" w:themeFill="text2" w:themeFillTint="32"/>
                    <w:jc w:val="left"/>
                    <w:rPr>
                      <w:rFonts w:hint="eastAsia" w:eastAsia="宋体"/>
                      <w:lang w:eastAsia="zh-CN"/>
                    </w:rPr>
                  </w:pPr>
                  <w:r>
                    <w:rPr>
                      <w:rFonts w:hint="eastAsia"/>
                      <w:lang w:eastAsia="zh-CN"/>
                    </w:rPr>
                    <w:t>焊接质量、防水防渗透等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需要确认的过程：焊接、防水施工、隐蔽工程施工，</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lang w:eastAsia="zh-CN"/>
                    </w:rPr>
                    <w:t>☑</w:t>
                  </w: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最高管理者制定了文件化的管理体系方针：遵守法律法规，提高环境绩效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44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shd w:val="clear" w:color="auto" w:fill="EBF1DE" w:themeFill="accent3" w:themeFillTint="32"/>
                  </w:pPr>
                  <w:r>
                    <w:rPr>
                      <w:rFonts w:hint="eastAsia"/>
                    </w:rPr>
                    <w:t>主要的风险或机遇描述</w:t>
                  </w:r>
                </w:p>
              </w:tc>
              <w:tc>
                <w:tcPr>
                  <w:tcW w:w="446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446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446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shd w:val="clear" w:color="auto" w:fill="EBF1DE" w:themeFill="accent3" w:themeFillTint="32"/>
                    <w:rPr>
                      <w:rFonts w:hint="eastAsia" w:eastAsia="宋体"/>
                      <w:lang w:eastAsia="zh-CN"/>
                    </w:rPr>
                  </w:pPr>
                  <w:r>
                    <w:rPr>
                      <w:rFonts w:hint="eastAsia"/>
                      <w:lang w:eastAsia="zh-CN"/>
                    </w:rPr>
                    <w:t>废水排放</w:t>
                  </w:r>
                </w:p>
              </w:tc>
              <w:tc>
                <w:tcPr>
                  <w:tcW w:w="446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shd w:val="clear" w:color="auto" w:fill="EBF1DE" w:themeFill="accent3" w:themeFillTint="32"/>
                    <w:rPr>
                      <w:rFonts w:hint="eastAsia" w:eastAsia="宋体"/>
                      <w:lang w:eastAsia="zh-CN"/>
                    </w:rPr>
                  </w:pPr>
                  <w:r>
                    <w:rPr>
                      <w:rFonts w:hint="eastAsia"/>
                      <w:lang w:eastAsia="zh-CN"/>
                    </w:rPr>
                    <w:t>噪声排放</w:t>
                  </w:r>
                </w:p>
              </w:tc>
              <w:tc>
                <w:tcPr>
                  <w:tcW w:w="446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shd w:val="clear" w:color="auto" w:fill="EBF1DE" w:themeFill="accent3" w:themeFillTint="32"/>
                    <w:rPr>
                      <w:rFonts w:hint="eastAsia"/>
                      <w:lang w:eastAsia="zh-CN"/>
                    </w:rPr>
                  </w:pPr>
                  <w:r>
                    <w:rPr>
                      <w:rFonts w:hint="eastAsia"/>
                      <w:lang w:eastAsia="zh-CN"/>
                    </w:rPr>
                    <w:t>粉尘排放</w:t>
                  </w:r>
                </w:p>
              </w:tc>
              <w:tc>
                <w:tcPr>
                  <w:tcW w:w="446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3178"/>
              <w:gridCol w:w="113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5"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78"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3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粉尘排放无相关方投诉</w:t>
                  </w:r>
                </w:p>
              </w:tc>
              <w:tc>
                <w:tcPr>
                  <w:tcW w:w="3178"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134"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噪音无相关方投诉</w:t>
                  </w:r>
                </w:p>
              </w:tc>
              <w:tc>
                <w:tcPr>
                  <w:tcW w:w="3178"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134"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固体废弃物回收处置率100%</w:t>
                  </w:r>
                </w:p>
              </w:tc>
              <w:tc>
                <w:tcPr>
                  <w:tcW w:w="3178"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134"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火灾事故为零</w:t>
                  </w:r>
                </w:p>
              </w:tc>
              <w:tc>
                <w:tcPr>
                  <w:tcW w:w="3178"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134"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综合部</w:t>
                  </w: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建筑面积1100平方米；生产车间0个；库房0个；实验室0个</w:t>
            </w:r>
            <w:r>
              <w:rPr>
                <w:rFonts w:hint="eastAsia"/>
              </w:rPr>
              <w:t>；</w:t>
            </w:r>
          </w:p>
          <w:p>
            <w:pPr>
              <w:shd w:val="clear" w:color="auto" w:fill="EBF1DE" w:themeFill="accent3" w:themeFillTint="32"/>
              <w:rPr>
                <w:rFonts w:hint="eastAsia" w:eastAsia="宋体"/>
                <w:u w:val="single"/>
                <w:lang w:eastAsia="zh-CN"/>
              </w:rPr>
            </w:pPr>
            <w:r>
              <w:rPr>
                <w:rFonts w:hint="eastAsia"/>
                <w:lang w:eastAsia="zh-CN"/>
              </w:rPr>
              <w:t>主要生产设备有：（混凝土搅拌机、砂浆搅拌机、磨石机、钢筋切断机、圆盘锯、拉丝机等）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646"/>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646" w:type="dxa"/>
                </w:tcPr>
                <w:p>
                  <w:pPr>
                    <w:shd w:val="clear" w:color="auto" w:fill="EBF1DE" w:themeFill="accent3" w:themeFillTint="32"/>
                    <w:jc w:val="left"/>
                  </w:pPr>
                  <w:r>
                    <w:rPr>
                      <w:rFonts w:hint="eastAsia"/>
                    </w:rPr>
                    <w:t>控制措施</w:t>
                  </w:r>
                </w:p>
              </w:tc>
              <w:tc>
                <w:tcPr>
                  <w:tcW w:w="228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646" w:type="dxa"/>
                </w:tcPr>
                <w:p>
                  <w:pPr>
                    <w:shd w:val="clear" w:color="auto" w:fill="EBF1DE" w:themeFill="accent3" w:themeFillTint="32"/>
                    <w:jc w:val="left"/>
                  </w:pPr>
                </w:p>
              </w:tc>
              <w:tc>
                <w:tcPr>
                  <w:tcW w:w="2284"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4646" w:type="dxa"/>
                </w:tcPr>
                <w:p>
                  <w:pPr>
                    <w:shd w:val="clear" w:color="auto" w:fill="EBF1DE" w:themeFill="accent3" w:themeFillTint="32"/>
                    <w:jc w:val="left"/>
                  </w:pPr>
                </w:p>
              </w:tc>
              <w:tc>
                <w:tcPr>
                  <w:tcW w:w="2284"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646"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2284"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646"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2284"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4646"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2284"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646" w:type="dxa"/>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284"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4646"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2284"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4646"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284"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646" w:type="dxa"/>
                </w:tcPr>
                <w:p>
                  <w:pPr>
                    <w:shd w:val="clear" w:color="auto" w:fill="EBF1DE" w:themeFill="accent3" w:themeFillTint="32"/>
                    <w:jc w:val="left"/>
                  </w:pPr>
                </w:p>
              </w:tc>
              <w:tc>
                <w:tcPr>
                  <w:tcW w:w="2284"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日进行了</w:t>
            </w:r>
            <w:r>
              <w:rPr>
                <w:rFonts w:hint="eastAsia"/>
                <w:lang w:eastAsia="zh-CN"/>
              </w:rPr>
              <w:t>火灾</w:t>
            </w:r>
            <w:r>
              <w:rPr>
                <w:rFonts w:hint="eastAsia"/>
              </w:rPr>
              <w:t>的</w:t>
            </w:r>
            <w:r>
              <w:rPr>
                <w:rFonts w:hint="eastAsia"/>
                <w:lang w:eastAsia="zh-CN"/>
              </w:rPr>
              <w:t>应急</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价值观□文化□知识□绩效□工艺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eastAsia="宋体"/>
                <w:color w:val="000000"/>
                <w:szCs w:val="18"/>
              </w:rPr>
              <w:t>规范安全操作，降低事故发生</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pPr>
              <w:rPr>
                <w:rFonts w:hint="eastAsia" w:eastAsia="宋体"/>
                <w:lang w:eastAsia="zh-CN"/>
              </w:rPr>
            </w:pPr>
            <w:r>
              <w:rPr>
                <w:rFonts w:hint="eastAsia"/>
              </w:rPr>
              <w:t>安全的主管部门是——</w:t>
            </w:r>
            <w:r>
              <w:rPr>
                <w:rFonts w:hint="eastAsia"/>
                <w:lang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火灾</w:t>
                  </w:r>
                </w:p>
              </w:tc>
              <w:tc>
                <w:tcPr>
                  <w:tcW w:w="3965" w:type="dxa"/>
                  <w:vAlign w:val="top"/>
                </w:tcPr>
                <w:p>
                  <w:pPr>
                    <w:rPr>
                      <w:rFonts w:hint="eastAsia" w:eastAsia="宋体"/>
                      <w:lang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eastAsia="宋体"/>
                      <w:lang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触电</w:t>
                  </w:r>
                </w:p>
              </w:tc>
              <w:tc>
                <w:tcPr>
                  <w:tcW w:w="3965" w:type="dxa"/>
                  <w:vAlign w:val="top"/>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意外伤害（物体坍塌、高处坠落、机械伤害、物体打击、起重伤害等）</w:t>
                  </w:r>
                </w:p>
              </w:tc>
              <w:tc>
                <w:tcPr>
                  <w:tcW w:w="3965"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火灾事故为零</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eastAsia="宋体"/>
                      <w:lang w:val="en-GB" w:eastAsia="zh-CN"/>
                    </w:rPr>
                  </w:pPr>
                  <w:r>
                    <w:rPr>
                      <w:rFonts w:hint="eastAsia"/>
                      <w:lang w:val="en-GB"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机具设备伤害次数为零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触电事故为零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rPr>
                  </w:pPr>
                  <w:r>
                    <w:rPr>
                      <w:rFonts w:hint="eastAsia" w:ascii="宋体" w:hAnsi="宋体"/>
                      <w:lang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职业病发生率为零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交通事故发生率为零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轻伤发生次数≤1</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重伤发生次数为零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建筑面积1100平方米；生产车间0个；库房0个；实验室0个</w:t>
            </w:r>
            <w:r>
              <w:rPr>
                <w:rFonts w:hint="eastAsia"/>
              </w:rPr>
              <w:t>；</w:t>
            </w:r>
          </w:p>
          <w:p>
            <w:pPr>
              <w:rPr>
                <w:rFonts w:hint="eastAsia" w:eastAsia="宋体"/>
                <w:u w:val="single"/>
                <w:lang w:eastAsia="zh-CN"/>
              </w:rPr>
            </w:pPr>
            <w:r>
              <w:rPr>
                <w:rFonts w:hint="eastAsia"/>
                <w:lang w:eastAsia="zh-CN"/>
              </w:rPr>
              <w:t>主要生产设备有：（混凝土搅拌机、砂浆搅拌机、磨石机、钢筋切断机、圆盘锯、拉丝机等）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应急冤案及管理方案控制</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日进行了</w:t>
            </w:r>
            <w:r>
              <w:rPr>
                <w:rFonts w:hint="eastAsia"/>
                <w:lang w:eastAsia="zh-CN"/>
              </w:rPr>
              <w:t>消防应急演练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入职</w:t>
            </w:r>
            <w:r>
              <w:rPr>
                <w:rFonts w:hint="eastAsia" w:ascii="Wingdings" w:hAnsi="Wingdings"/>
                <w:highlight w:val="none"/>
                <w:lang w:eastAsia="zh-CN"/>
              </w:rPr>
              <w:t>□</w:t>
            </w:r>
            <w:r>
              <w:rPr>
                <w:rFonts w:hint="eastAsia"/>
                <w:highlight w:val="none"/>
              </w:rPr>
              <w:t>离职</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bookmarkStart w:id="30" w:name="_GoBack"/>
            <w:bookmarkEnd w:id="30"/>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07F45AC"/>
    <w:rsid w:val="01555C14"/>
    <w:rsid w:val="031A0857"/>
    <w:rsid w:val="03506EBB"/>
    <w:rsid w:val="05085757"/>
    <w:rsid w:val="0597082A"/>
    <w:rsid w:val="059731F4"/>
    <w:rsid w:val="05D8595B"/>
    <w:rsid w:val="061739B6"/>
    <w:rsid w:val="062C015B"/>
    <w:rsid w:val="066601DF"/>
    <w:rsid w:val="071C6970"/>
    <w:rsid w:val="078669AF"/>
    <w:rsid w:val="07A52F1A"/>
    <w:rsid w:val="08B35707"/>
    <w:rsid w:val="09945539"/>
    <w:rsid w:val="0A845FAA"/>
    <w:rsid w:val="0B1A6E92"/>
    <w:rsid w:val="0D847672"/>
    <w:rsid w:val="13713219"/>
    <w:rsid w:val="13875974"/>
    <w:rsid w:val="13A04ADA"/>
    <w:rsid w:val="14743674"/>
    <w:rsid w:val="14E325D5"/>
    <w:rsid w:val="15484F82"/>
    <w:rsid w:val="16094BB9"/>
    <w:rsid w:val="161534A9"/>
    <w:rsid w:val="16366562"/>
    <w:rsid w:val="174B0F64"/>
    <w:rsid w:val="17E30B5F"/>
    <w:rsid w:val="18FC42E6"/>
    <w:rsid w:val="1A4C6DFD"/>
    <w:rsid w:val="1AF16D95"/>
    <w:rsid w:val="1B204BCE"/>
    <w:rsid w:val="1B7E2ECE"/>
    <w:rsid w:val="1E6C2189"/>
    <w:rsid w:val="213571AA"/>
    <w:rsid w:val="21CB0975"/>
    <w:rsid w:val="22525F24"/>
    <w:rsid w:val="230C2D7D"/>
    <w:rsid w:val="249259A1"/>
    <w:rsid w:val="257F7B52"/>
    <w:rsid w:val="26DD33E6"/>
    <w:rsid w:val="28110042"/>
    <w:rsid w:val="296158B4"/>
    <w:rsid w:val="2A7F3EF6"/>
    <w:rsid w:val="2AC01977"/>
    <w:rsid w:val="2BAB516D"/>
    <w:rsid w:val="2D3F18BC"/>
    <w:rsid w:val="2D5B1D46"/>
    <w:rsid w:val="327B2543"/>
    <w:rsid w:val="32DC0EB2"/>
    <w:rsid w:val="32F80264"/>
    <w:rsid w:val="352E5F92"/>
    <w:rsid w:val="357716E7"/>
    <w:rsid w:val="36AF61AB"/>
    <w:rsid w:val="37022674"/>
    <w:rsid w:val="37BC3E1E"/>
    <w:rsid w:val="37DD09A1"/>
    <w:rsid w:val="393F251C"/>
    <w:rsid w:val="3B190B4B"/>
    <w:rsid w:val="3C2418E3"/>
    <w:rsid w:val="3D2967D1"/>
    <w:rsid w:val="3E174B2D"/>
    <w:rsid w:val="3E5B0566"/>
    <w:rsid w:val="3EBB7194"/>
    <w:rsid w:val="3EF028E3"/>
    <w:rsid w:val="3F0E20E0"/>
    <w:rsid w:val="3FC85D68"/>
    <w:rsid w:val="41C93703"/>
    <w:rsid w:val="42A11752"/>
    <w:rsid w:val="43174B42"/>
    <w:rsid w:val="44723EF7"/>
    <w:rsid w:val="468667E7"/>
    <w:rsid w:val="47560505"/>
    <w:rsid w:val="487B7464"/>
    <w:rsid w:val="48D766C0"/>
    <w:rsid w:val="49D97E23"/>
    <w:rsid w:val="49DC7913"/>
    <w:rsid w:val="4A1930E3"/>
    <w:rsid w:val="4A547630"/>
    <w:rsid w:val="4B062139"/>
    <w:rsid w:val="4B4D31BE"/>
    <w:rsid w:val="4B6B71A0"/>
    <w:rsid w:val="4C75167C"/>
    <w:rsid w:val="4D98532F"/>
    <w:rsid w:val="4D9E1AAF"/>
    <w:rsid w:val="4DEB281B"/>
    <w:rsid w:val="4EDB454A"/>
    <w:rsid w:val="503C0DFD"/>
    <w:rsid w:val="51AF7C3E"/>
    <w:rsid w:val="52BC19ED"/>
    <w:rsid w:val="532D0EDB"/>
    <w:rsid w:val="534A1D91"/>
    <w:rsid w:val="56565420"/>
    <w:rsid w:val="583118B4"/>
    <w:rsid w:val="5A985AD8"/>
    <w:rsid w:val="5B4869ED"/>
    <w:rsid w:val="5C397A1F"/>
    <w:rsid w:val="626E5F43"/>
    <w:rsid w:val="62A5041B"/>
    <w:rsid w:val="62B46BE7"/>
    <w:rsid w:val="62E419D3"/>
    <w:rsid w:val="631635E2"/>
    <w:rsid w:val="634E31D8"/>
    <w:rsid w:val="6383639C"/>
    <w:rsid w:val="64694DC5"/>
    <w:rsid w:val="64BD0615"/>
    <w:rsid w:val="65F703CD"/>
    <w:rsid w:val="698F3E4E"/>
    <w:rsid w:val="6B714BB0"/>
    <w:rsid w:val="6EA23374"/>
    <w:rsid w:val="70AC7790"/>
    <w:rsid w:val="70E62C09"/>
    <w:rsid w:val="71531542"/>
    <w:rsid w:val="72DA0A94"/>
    <w:rsid w:val="73B47348"/>
    <w:rsid w:val="73BA1596"/>
    <w:rsid w:val="744F7FC6"/>
    <w:rsid w:val="748A53C5"/>
    <w:rsid w:val="74A25132"/>
    <w:rsid w:val="750958EA"/>
    <w:rsid w:val="76CA65B2"/>
    <w:rsid w:val="79F42F3A"/>
    <w:rsid w:val="7BA32104"/>
    <w:rsid w:val="7C102CEF"/>
    <w:rsid w:val="7C6A4505"/>
    <w:rsid w:val="7D0B0B67"/>
    <w:rsid w:val="7F671DC8"/>
    <w:rsid w:val="7F721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2022-08-18T03:07:34Z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