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hint="eastAsia" w:eastAsia="楷体"/>
          <w:color w:val="000000"/>
          <w:sz w:val="21"/>
          <w:szCs w:val="21"/>
          <w:u w:val="thick"/>
          <w:lang w:eastAsia="zh-CN"/>
        </w:rPr>
      </w:pPr>
      <w:r>
        <w:rPr>
          <w:rFonts w:hint="eastAsia" w:ascii="楷体" w:hAnsi="楷体" w:eastAsia="楷体"/>
          <w:color w:val="000000"/>
          <w:sz w:val="28"/>
          <w:szCs w:val="28"/>
        </w:rPr>
        <w:t>合同编号：</w:t>
      </w:r>
      <w:r>
        <w:rPr>
          <w:rFonts w:hint="eastAsia" w:eastAsia="楷体"/>
          <w:color w:val="000000"/>
          <w:sz w:val="21"/>
          <w:szCs w:val="21"/>
          <w:u w:val="thick"/>
          <w:lang w:eastAsia="zh-CN"/>
        </w:rPr>
        <w:t>0569-2022-QJEO</w:t>
      </w:r>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四川轩城首创建设工程有限公司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0" w:name="EnMS勾选"/>
      <w:r>
        <w:rPr>
          <w:rFonts w:hint="eastAsia" w:ascii="楷体" w:hAnsi="楷体" w:eastAsia="楷体"/>
          <w:b/>
          <w:color w:val="000000"/>
          <w:sz w:val="28"/>
          <w:szCs w:val="28"/>
        </w:rPr>
        <w:t>□</w:t>
      </w:r>
      <w:bookmarkEnd w:id="0"/>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1" w:name="F勾选"/>
      <w:r>
        <w:rPr>
          <w:rFonts w:hint="eastAsia" w:ascii="楷体" w:hAnsi="楷体" w:eastAsia="楷体"/>
          <w:b/>
          <w:color w:val="000000"/>
          <w:sz w:val="28"/>
          <w:szCs w:val="28"/>
        </w:rPr>
        <w:t>□</w:t>
      </w:r>
      <w:bookmarkEnd w:id="1"/>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2" w:name="H勾选"/>
      <w:r>
        <w:rPr>
          <w:rFonts w:hint="eastAsia" w:ascii="楷体" w:hAnsi="楷体" w:eastAsia="楷体"/>
          <w:b/>
          <w:color w:val="000000"/>
          <w:sz w:val="28"/>
          <w:szCs w:val="28"/>
        </w:rPr>
        <w:t>□</w:t>
      </w:r>
      <w:bookmarkEnd w:id="2"/>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eastAsia" w:eastAsia="宋体"/>
                <w:szCs w:val="21"/>
                <w:lang w:eastAsia="zh-CN"/>
              </w:rPr>
            </w:pPr>
            <w:r>
              <w:rPr>
                <w:rFonts w:hint="eastAsia" w:ascii="宋体"/>
                <w:b/>
                <w:color w:val="000000"/>
                <w:szCs w:val="21"/>
                <w:lang w:eastAsia="zh-CN"/>
              </w:rPr>
              <w:t>2022年08月14日 上午至2022年08月14日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lang w:eastAsia="zh-CN"/>
              </w:rPr>
              <w:t>■</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bookmarkStart w:id="3" w:name="EnMS勾选Add1"/>
            <w:r>
              <w:rPr>
                <w:rFonts w:hint="eastAsia" w:ascii="宋体" w:hAnsi="宋体"/>
                <w:b/>
                <w:color w:val="000000"/>
                <w:szCs w:val="21"/>
              </w:rPr>
              <w:t>□</w:t>
            </w:r>
            <w:bookmarkEnd w:id="3"/>
            <w:r>
              <w:rPr>
                <w:rFonts w:hint="eastAsia" w:ascii="宋体" w:hAnsi="宋体"/>
                <w:b/>
                <w:color w:val="000000"/>
                <w:szCs w:val="21"/>
              </w:rPr>
              <w:t>En</w:t>
            </w:r>
            <w:r>
              <w:rPr>
                <w:rFonts w:ascii="宋体" w:hAnsi="宋体"/>
                <w:b/>
                <w:color w:val="000000"/>
                <w:szCs w:val="21"/>
              </w:rPr>
              <w:t>MS/</w:t>
            </w:r>
            <w:bookmarkStart w:id="4" w:name="F勾选Add1"/>
            <w:r>
              <w:rPr>
                <w:rFonts w:hint="eastAsia" w:ascii="宋体" w:hAnsi="宋体"/>
                <w:b/>
                <w:color w:val="000000"/>
                <w:szCs w:val="21"/>
              </w:rPr>
              <w:t>□</w:t>
            </w:r>
            <w:bookmarkEnd w:id="4"/>
            <w:r>
              <w:rPr>
                <w:rFonts w:hint="eastAsia" w:ascii="宋体" w:hAnsi="宋体"/>
                <w:b/>
                <w:color w:val="000000"/>
                <w:szCs w:val="21"/>
              </w:rPr>
              <w:t>FS</w:t>
            </w:r>
            <w:r>
              <w:rPr>
                <w:rFonts w:ascii="宋体" w:hAnsi="宋体"/>
                <w:b/>
                <w:color w:val="000000"/>
                <w:szCs w:val="21"/>
              </w:rPr>
              <w:t>MS/</w:t>
            </w:r>
            <w:bookmarkStart w:id="5" w:name="H勾选Add1"/>
            <w:r>
              <w:rPr>
                <w:rFonts w:hint="eastAsia" w:ascii="宋体" w:hAnsi="宋体"/>
                <w:b/>
                <w:color w:val="000000"/>
                <w:szCs w:val="21"/>
              </w:rPr>
              <w:t>□</w:t>
            </w:r>
            <w:bookmarkEnd w:id="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b/>
                <w:color w:val="000000"/>
                <w:szCs w:val="21"/>
                <w:lang w:eastAsia="zh-CN"/>
              </w:rPr>
              <w:t>■</w:t>
            </w:r>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 50430-2017</w:t>
            </w: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r>
              <w:rPr>
                <w:rFonts w:hint="eastAsia" w:ascii="宋体" w:hAnsi="宋体"/>
                <w:b/>
                <w:color w:val="000000"/>
                <w:szCs w:val="21"/>
                <w:lang w:val="de-DE" w:eastAsia="zh-CN"/>
              </w:rPr>
              <w:t>■</w:t>
            </w:r>
            <w:r>
              <w:rPr>
                <w:rFonts w:hint="eastAsia" w:ascii="宋体" w:hAnsi="宋体"/>
                <w:b/>
                <w:color w:val="000000"/>
                <w:szCs w:val="21"/>
                <w:lang w:val="de-DE"/>
              </w:rPr>
              <w:t>ISO45001：2018</w:t>
            </w:r>
          </w:p>
          <w:p>
            <w:pPr>
              <w:rPr>
                <w:rFonts w:ascii="宋体" w:hAnsi="宋体"/>
                <w:b/>
                <w:color w:val="000000"/>
                <w:szCs w:val="21"/>
                <w:lang w:val="de-DE"/>
              </w:rPr>
            </w:pPr>
            <w:bookmarkStart w:id="6" w:name="EnMS勾选Add2"/>
            <w:r>
              <w:rPr>
                <w:rFonts w:hint="eastAsia" w:ascii="宋体" w:hAnsi="宋体"/>
                <w:b/>
                <w:color w:val="000000"/>
                <w:szCs w:val="21"/>
                <w:lang w:val="de-DE"/>
              </w:rPr>
              <w:t>□</w:t>
            </w:r>
            <w:bookmarkEnd w:id="6"/>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7" w:name="F勾选Add2"/>
            <w:r>
              <w:rPr>
                <w:rFonts w:hint="eastAsia" w:ascii="宋体" w:hAnsi="宋体"/>
                <w:b/>
                <w:color w:val="000000"/>
                <w:szCs w:val="21"/>
                <w:lang w:val="de-DE"/>
              </w:rPr>
              <w:t>□</w:t>
            </w:r>
            <w:bookmarkEnd w:id="7"/>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8" w:name="H勾选Add2"/>
            <w:r>
              <w:rPr>
                <w:rFonts w:hint="eastAsia" w:ascii="宋体" w:hAnsi="宋体"/>
                <w:b/>
                <w:color w:val="000000"/>
                <w:szCs w:val="21"/>
                <w:lang w:val="de-DE"/>
              </w:rPr>
              <w:t>□</w:t>
            </w:r>
            <w:bookmarkEnd w:id="8"/>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eastAsia="zh-CN"/>
              </w:rPr>
              <w:t>■</w:t>
            </w:r>
            <w:r>
              <w:rPr>
                <w:rFonts w:hint="eastAsia" w:ascii="宋体" w:hAnsi="宋体"/>
                <w:b/>
                <w:color w:val="000000"/>
                <w:szCs w:val="21"/>
              </w:rPr>
              <w:t>顾客要求</w:t>
            </w:r>
          </w:p>
          <w:p>
            <w:pPr>
              <w:rPr>
                <w:szCs w:val="21"/>
              </w:rPr>
            </w:pPr>
            <w:r>
              <w:rPr>
                <w:rFonts w:hint="eastAsia" w:ascii="宋体" w:hAnsi="宋体"/>
                <w:b/>
                <w:color w:val="000000"/>
                <w:szCs w:val="21"/>
                <w:lang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四川省德阳市旌阳区黄许镇金桥村2组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167"/>
        <w:gridCol w:w="733"/>
        <w:gridCol w:w="2669"/>
        <w:gridCol w:w="253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59" w:type="dxa"/>
            <w:vAlign w:val="center"/>
          </w:tcPr>
          <w:p>
            <w:pPr>
              <w:spacing w:line="240" w:lineRule="exact"/>
              <w:jc w:val="center"/>
              <w:rPr>
                <w:b/>
                <w:color w:val="000000"/>
                <w:szCs w:val="21"/>
              </w:rPr>
            </w:pPr>
            <w:r>
              <w:rPr>
                <w:rFonts w:hint="eastAsia"/>
                <w:b/>
                <w:color w:val="000000"/>
                <w:szCs w:val="21"/>
              </w:rPr>
              <w:t>姓名</w:t>
            </w:r>
          </w:p>
        </w:tc>
        <w:tc>
          <w:tcPr>
            <w:tcW w:w="1167"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33" w:type="dxa"/>
            <w:vAlign w:val="center"/>
          </w:tcPr>
          <w:p>
            <w:pPr>
              <w:spacing w:line="240" w:lineRule="exact"/>
              <w:jc w:val="center"/>
              <w:rPr>
                <w:b/>
                <w:color w:val="000000"/>
                <w:szCs w:val="21"/>
              </w:rPr>
            </w:pPr>
            <w:r>
              <w:rPr>
                <w:rFonts w:hint="eastAsia"/>
                <w:szCs w:val="21"/>
              </w:rPr>
              <w:t>性别</w:t>
            </w:r>
          </w:p>
        </w:tc>
        <w:tc>
          <w:tcPr>
            <w:tcW w:w="2669" w:type="dxa"/>
            <w:vAlign w:val="center"/>
          </w:tcPr>
          <w:p>
            <w:pPr>
              <w:spacing w:line="240" w:lineRule="exact"/>
              <w:jc w:val="center"/>
              <w:rPr>
                <w:b/>
                <w:color w:val="000000"/>
                <w:szCs w:val="21"/>
              </w:rPr>
            </w:pPr>
            <w:r>
              <w:rPr>
                <w:rFonts w:hint="eastAsia"/>
                <w:szCs w:val="21"/>
              </w:rPr>
              <w:t>审核员注册证书号</w:t>
            </w:r>
          </w:p>
        </w:tc>
        <w:tc>
          <w:tcPr>
            <w:tcW w:w="253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59" w:type="dxa"/>
            <w:vAlign w:val="center"/>
          </w:tcPr>
          <w:p>
            <w:pPr>
              <w:spacing w:line="240" w:lineRule="exact"/>
              <w:jc w:val="center"/>
              <w:rPr>
                <w:b/>
                <w:color w:val="000000"/>
                <w:szCs w:val="21"/>
              </w:rPr>
            </w:pPr>
            <w:r>
              <w:rPr>
                <w:b/>
                <w:color w:val="000000"/>
                <w:szCs w:val="21"/>
              </w:rPr>
              <w:t>文平</w:t>
            </w:r>
          </w:p>
        </w:tc>
        <w:tc>
          <w:tcPr>
            <w:tcW w:w="1167" w:type="dxa"/>
            <w:vAlign w:val="center"/>
          </w:tcPr>
          <w:p>
            <w:pPr>
              <w:spacing w:line="240" w:lineRule="exact"/>
              <w:jc w:val="center"/>
              <w:rPr>
                <w:szCs w:val="21"/>
              </w:rPr>
            </w:pPr>
            <w:r>
              <w:rPr>
                <w:szCs w:val="21"/>
              </w:rPr>
              <w:t>组长</w:t>
            </w:r>
          </w:p>
        </w:tc>
        <w:tc>
          <w:tcPr>
            <w:tcW w:w="733" w:type="dxa"/>
            <w:vAlign w:val="center"/>
          </w:tcPr>
          <w:p>
            <w:pPr>
              <w:spacing w:line="240" w:lineRule="exact"/>
              <w:jc w:val="center"/>
              <w:rPr>
                <w:b/>
                <w:color w:val="000000"/>
                <w:szCs w:val="21"/>
              </w:rPr>
            </w:pPr>
            <w:r>
              <w:rPr>
                <w:b/>
                <w:color w:val="000000"/>
                <w:szCs w:val="21"/>
              </w:rPr>
              <w:t>男</w:t>
            </w:r>
          </w:p>
        </w:tc>
        <w:tc>
          <w:tcPr>
            <w:tcW w:w="2669" w:type="dxa"/>
            <w:vAlign w:val="center"/>
          </w:tcPr>
          <w:p>
            <w:pPr>
              <w:spacing w:line="240" w:lineRule="exact"/>
              <w:jc w:val="center"/>
              <w:rPr>
                <w:b/>
                <w:color w:val="000000"/>
                <w:szCs w:val="21"/>
              </w:rPr>
            </w:pPr>
            <w:r>
              <w:rPr>
                <w:b/>
                <w:color w:val="000000"/>
                <w:szCs w:val="21"/>
              </w:rPr>
              <w:t>2022-N1QMS-4093566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2022-N1OHSMS-3093566</w:t>
            </w:r>
          </w:p>
        </w:tc>
        <w:tc>
          <w:tcPr>
            <w:tcW w:w="2530" w:type="dxa"/>
            <w:vAlign w:val="center"/>
          </w:tcPr>
          <w:p>
            <w:pPr>
              <w:spacing w:line="240" w:lineRule="exact"/>
              <w:jc w:val="center"/>
              <w:rPr>
                <w:b/>
                <w:color w:val="000000"/>
                <w:szCs w:val="21"/>
              </w:rPr>
            </w:pPr>
            <w:r>
              <w:rPr>
                <w:b/>
                <w:color w:val="000000"/>
                <w:szCs w:val="21"/>
              </w:rPr>
              <w:t>EC:28.02.00,28.04.01,28.07.02,28.07.03A</w:t>
            </w:r>
          </w:p>
          <w:p>
            <w:pPr>
              <w:spacing w:line="240" w:lineRule="exact"/>
              <w:jc w:val="center"/>
              <w:rPr>
                <w:b/>
                <w:color w:val="000000"/>
                <w:szCs w:val="21"/>
              </w:rPr>
            </w:pPr>
            <w:r>
              <w:rPr>
                <w:b/>
                <w:color w:val="000000"/>
                <w:szCs w:val="21"/>
              </w:rPr>
              <w:t>E:28.02.00,28.04.01,28.07.02,28.07.03</w:t>
            </w:r>
          </w:p>
          <w:p>
            <w:pPr>
              <w:spacing w:line="240" w:lineRule="exact"/>
              <w:jc w:val="center"/>
              <w:rPr>
                <w:b/>
                <w:color w:val="000000"/>
                <w:szCs w:val="21"/>
              </w:rPr>
            </w:pPr>
            <w:r>
              <w:rPr>
                <w:b/>
                <w:color w:val="000000"/>
                <w:szCs w:val="21"/>
              </w:rPr>
              <w:t>O:28.02.00,28.04.01,28.07.02,28.07.03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59" w:type="dxa"/>
            <w:vAlign w:val="center"/>
          </w:tcPr>
          <w:p>
            <w:pPr>
              <w:spacing w:line="240" w:lineRule="exact"/>
              <w:jc w:val="center"/>
              <w:rPr>
                <w:b/>
                <w:color w:val="000000"/>
                <w:szCs w:val="21"/>
              </w:rPr>
            </w:pPr>
            <w:r>
              <w:rPr>
                <w:b/>
                <w:color w:val="000000"/>
                <w:szCs w:val="21"/>
              </w:rPr>
              <w:t>冉景洲</w:t>
            </w:r>
          </w:p>
        </w:tc>
        <w:tc>
          <w:tcPr>
            <w:tcW w:w="1167" w:type="dxa"/>
            <w:vAlign w:val="center"/>
          </w:tcPr>
          <w:p>
            <w:pPr>
              <w:spacing w:line="240" w:lineRule="exact"/>
              <w:jc w:val="center"/>
              <w:rPr>
                <w:szCs w:val="21"/>
              </w:rPr>
            </w:pPr>
            <w:r>
              <w:rPr>
                <w:szCs w:val="21"/>
              </w:rPr>
              <w:t>组员</w:t>
            </w:r>
          </w:p>
        </w:tc>
        <w:tc>
          <w:tcPr>
            <w:tcW w:w="733" w:type="dxa"/>
            <w:vAlign w:val="center"/>
          </w:tcPr>
          <w:p>
            <w:pPr>
              <w:spacing w:line="240" w:lineRule="exact"/>
              <w:jc w:val="center"/>
              <w:rPr>
                <w:b/>
                <w:color w:val="000000"/>
                <w:szCs w:val="21"/>
              </w:rPr>
            </w:pPr>
            <w:r>
              <w:rPr>
                <w:b/>
                <w:color w:val="000000"/>
                <w:szCs w:val="21"/>
              </w:rPr>
              <w:t>女</w:t>
            </w:r>
          </w:p>
        </w:tc>
        <w:tc>
          <w:tcPr>
            <w:tcW w:w="2669"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253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59" w:type="dxa"/>
            <w:vAlign w:val="center"/>
          </w:tcPr>
          <w:p>
            <w:pPr>
              <w:spacing w:line="240" w:lineRule="exact"/>
              <w:jc w:val="center"/>
              <w:rPr>
                <w:b/>
                <w:color w:val="000000"/>
                <w:szCs w:val="21"/>
              </w:rPr>
            </w:pPr>
            <w:r>
              <w:rPr>
                <w:b/>
                <w:color w:val="000000"/>
                <w:szCs w:val="21"/>
              </w:rPr>
              <w:t>杨珍全</w:t>
            </w:r>
          </w:p>
        </w:tc>
        <w:tc>
          <w:tcPr>
            <w:tcW w:w="1167" w:type="dxa"/>
            <w:vAlign w:val="center"/>
          </w:tcPr>
          <w:p>
            <w:pPr>
              <w:spacing w:line="240" w:lineRule="exact"/>
              <w:jc w:val="center"/>
              <w:rPr>
                <w:szCs w:val="21"/>
              </w:rPr>
            </w:pPr>
            <w:r>
              <w:rPr>
                <w:szCs w:val="21"/>
              </w:rPr>
              <w:t>组员</w:t>
            </w:r>
          </w:p>
        </w:tc>
        <w:tc>
          <w:tcPr>
            <w:tcW w:w="733" w:type="dxa"/>
            <w:vAlign w:val="center"/>
          </w:tcPr>
          <w:p>
            <w:pPr>
              <w:spacing w:line="240" w:lineRule="exact"/>
              <w:jc w:val="center"/>
              <w:rPr>
                <w:b/>
                <w:color w:val="000000"/>
                <w:szCs w:val="21"/>
              </w:rPr>
            </w:pPr>
            <w:r>
              <w:rPr>
                <w:b/>
                <w:color w:val="000000"/>
                <w:szCs w:val="21"/>
              </w:rPr>
              <w:t>男</w:t>
            </w:r>
          </w:p>
        </w:tc>
        <w:tc>
          <w:tcPr>
            <w:tcW w:w="2669" w:type="dxa"/>
            <w:vAlign w:val="center"/>
          </w:tcPr>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253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459" w:type="dxa"/>
            <w:vAlign w:val="center"/>
          </w:tcPr>
          <w:p>
            <w:pPr>
              <w:spacing w:line="240" w:lineRule="exact"/>
              <w:jc w:val="center"/>
              <w:rPr>
                <w:b/>
                <w:color w:val="000000"/>
                <w:szCs w:val="21"/>
              </w:rPr>
            </w:pPr>
            <w:r>
              <w:rPr>
                <w:b/>
                <w:color w:val="000000"/>
                <w:szCs w:val="21"/>
              </w:rPr>
              <w:t>陈伟</w:t>
            </w:r>
          </w:p>
        </w:tc>
        <w:tc>
          <w:tcPr>
            <w:tcW w:w="1167" w:type="dxa"/>
            <w:vAlign w:val="center"/>
          </w:tcPr>
          <w:p>
            <w:pPr>
              <w:spacing w:line="240" w:lineRule="exact"/>
              <w:jc w:val="center"/>
              <w:rPr>
                <w:szCs w:val="21"/>
              </w:rPr>
            </w:pPr>
            <w:r>
              <w:rPr>
                <w:szCs w:val="21"/>
              </w:rPr>
              <w:t>组员</w:t>
            </w:r>
          </w:p>
        </w:tc>
        <w:tc>
          <w:tcPr>
            <w:tcW w:w="733" w:type="dxa"/>
            <w:vAlign w:val="center"/>
          </w:tcPr>
          <w:p>
            <w:pPr>
              <w:spacing w:line="240" w:lineRule="exact"/>
              <w:jc w:val="center"/>
              <w:rPr>
                <w:b/>
                <w:color w:val="000000"/>
                <w:szCs w:val="21"/>
              </w:rPr>
            </w:pPr>
            <w:r>
              <w:rPr>
                <w:b/>
                <w:color w:val="000000"/>
                <w:szCs w:val="21"/>
              </w:rPr>
              <w:t>男</w:t>
            </w:r>
          </w:p>
        </w:tc>
        <w:tc>
          <w:tcPr>
            <w:tcW w:w="2669" w:type="dxa"/>
            <w:vAlign w:val="center"/>
          </w:tcPr>
          <w:p>
            <w:pPr>
              <w:spacing w:line="240" w:lineRule="exact"/>
              <w:jc w:val="center"/>
              <w:rPr>
                <w:b/>
                <w:color w:val="000000"/>
                <w:szCs w:val="21"/>
              </w:rPr>
            </w:pPr>
            <w:r>
              <w:rPr>
                <w:b/>
                <w:color w:val="000000"/>
                <w:szCs w:val="21"/>
              </w:rPr>
              <w:t>2021-N1EMS-1265256</w:t>
            </w:r>
          </w:p>
        </w:tc>
        <w:tc>
          <w:tcPr>
            <w:tcW w:w="253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59" w:type="dxa"/>
            <w:vAlign w:val="center"/>
          </w:tcPr>
          <w:p>
            <w:pPr>
              <w:rPr>
                <w:b/>
                <w:color w:val="000000"/>
                <w:szCs w:val="21"/>
              </w:rPr>
            </w:pPr>
          </w:p>
        </w:tc>
        <w:tc>
          <w:tcPr>
            <w:tcW w:w="1167" w:type="dxa"/>
            <w:vAlign w:val="center"/>
          </w:tcPr>
          <w:p>
            <w:pPr>
              <w:rPr>
                <w:b/>
                <w:color w:val="000000"/>
                <w:szCs w:val="21"/>
              </w:rPr>
            </w:pPr>
          </w:p>
        </w:tc>
        <w:tc>
          <w:tcPr>
            <w:tcW w:w="733" w:type="dxa"/>
            <w:vAlign w:val="center"/>
          </w:tcPr>
          <w:p>
            <w:pPr>
              <w:rPr>
                <w:b/>
                <w:color w:val="000000"/>
                <w:szCs w:val="21"/>
              </w:rPr>
            </w:pPr>
          </w:p>
        </w:tc>
        <w:tc>
          <w:tcPr>
            <w:tcW w:w="2669" w:type="dxa"/>
            <w:vAlign w:val="center"/>
          </w:tcPr>
          <w:p>
            <w:pPr>
              <w:rPr>
                <w:b/>
                <w:color w:val="000000"/>
                <w:szCs w:val="21"/>
              </w:rPr>
            </w:pPr>
          </w:p>
        </w:tc>
        <w:tc>
          <w:tcPr>
            <w:tcW w:w="253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59" w:type="dxa"/>
            <w:vAlign w:val="center"/>
          </w:tcPr>
          <w:p>
            <w:pPr>
              <w:rPr>
                <w:b/>
                <w:color w:val="000000"/>
                <w:szCs w:val="21"/>
              </w:rPr>
            </w:pPr>
            <w:r>
              <w:rPr>
                <w:rFonts w:hint="eastAsia"/>
                <w:b/>
                <w:color w:val="000000"/>
                <w:szCs w:val="21"/>
              </w:rPr>
              <w:t>姓名</w:t>
            </w:r>
          </w:p>
        </w:tc>
        <w:tc>
          <w:tcPr>
            <w:tcW w:w="1167" w:type="dxa"/>
            <w:vAlign w:val="center"/>
          </w:tcPr>
          <w:p>
            <w:pPr>
              <w:rPr>
                <w:b/>
                <w:color w:val="000000"/>
                <w:szCs w:val="21"/>
              </w:rPr>
            </w:pPr>
            <w:r>
              <w:rPr>
                <w:rFonts w:hint="eastAsia"/>
                <w:b/>
                <w:color w:val="000000"/>
                <w:szCs w:val="21"/>
              </w:rPr>
              <w:t>作用</w:t>
            </w:r>
          </w:p>
        </w:tc>
        <w:tc>
          <w:tcPr>
            <w:tcW w:w="733" w:type="dxa"/>
            <w:vAlign w:val="center"/>
          </w:tcPr>
          <w:p>
            <w:pPr>
              <w:rPr>
                <w:b/>
                <w:color w:val="000000"/>
                <w:szCs w:val="21"/>
              </w:rPr>
            </w:pPr>
            <w:r>
              <w:rPr>
                <w:rFonts w:hint="eastAsia"/>
                <w:b/>
                <w:color w:val="000000"/>
                <w:szCs w:val="21"/>
              </w:rPr>
              <w:t>性别</w:t>
            </w:r>
          </w:p>
        </w:tc>
        <w:tc>
          <w:tcPr>
            <w:tcW w:w="2669" w:type="dxa"/>
            <w:vAlign w:val="center"/>
          </w:tcPr>
          <w:p>
            <w:pPr>
              <w:rPr>
                <w:b/>
                <w:color w:val="000000"/>
                <w:szCs w:val="21"/>
              </w:rPr>
            </w:pPr>
            <w:r>
              <w:rPr>
                <w:rFonts w:hint="eastAsia"/>
                <w:b/>
                <w:color w:val="000000"/>
                <w:szCs w:val="21"/>
              </w:rPr>
              <w:t>工作单位</w:t>
            </w:r>
          </w:p>
        </w:tc>
        <w:tc>
          <w:tcPr>
            <w:tcW w:w="361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59" w:type="dxa"/>
            <w:vAlign w:val="center"/>
          </w:tcPr>
          <w:p>
            <w:pPr>
              <w:rPr>
                <w:b/>
                <w:color w:val="000000"/>
                <w:szCs w:val="21"/>
              </w:rPr>
            </w:pPr>
          </w:p>
        </w:tc>
        <w:tc>
          <w:tcPr>
            <w:tcW w:w="1167" w:type="dxa"/>
            <w:vAlign w:val="center"/>
          </w:tcPr>
          <w:p>
            <w:pPr>
              <w:rPr>
                <w:b/>
                <w:color w:val="000000"/>
                <w:szCs w:val="21"/>
              </w:rPr>
            </w:pPr>
          </w:p>
        </w:tc>
        <w:tc>
          <w:tcPr>
            <w:tcW w:w="733" w:type="dxa"/>
            <w:vAlign w:val="center"/>
          </w:tcPr>
          <w:p>
            <w:pPr>
              <w:rPr>
                <w:b/>
                <w:color w:val="000000"/>
                <w:szCs w:val="21"/>
              </w:rPr>
            </w:pPr>
          </w:p>
        </w:tc>
        <w:tc>
          <w:tcPr>
            <w:tcW w:w="2669" w:type="dxa"/>
            <w:vAlign w:val="center"/>
          </w:tcPr>
          <w:p>
            <w:pPr>
              <w:rPr>
                <w:b/>
                <w:color w:val="000000"/>
                <w:szCs w:val="21"/>
              </w:rPr>
            </w:pPr>
          </w:p>
        </w:tc>
        <w:tc>
          <w:tcPr>
            <w:tcW w:w="361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59" w:type="dxa"/>
            <w:vAlign w:val="center"/>
          </w:tcPr>
          <w:p>
            <w:pPr>
              <w:rPr>
                <w:b/>
                <w:color w:val="000000"/>
                <w:szCs w:val="21"/>
                <w:highlight w:val="green"/>
              </w:rPr>
            </w:pPr>
          </w:p>
        </w:tc>
        <w:tc>
          <w:tcPr>
            <w:tcW w:w="1167" w:type="dxa"/>
            <w:vAlign w:val="center"/>
          </w:tcPr>
          <w:p>
            <w:pPr>
              <w:rPr>
                <w:b/>
                <w:color w:val="000000"/>
                <w:szCs w:val="21"/>
                <w:highlight w:val="green"/>
              </w:rPr>
            </w:pPr>
          </w:p>
        </w:tc>
        <w:tc>
          <w:tcPr>
            <w:tcW w:w="733" w:type="dxa"/>
            <w:vAlign w:val="center"/>
          </w:tcPr>
          <w:p>
            <w:pPr>
              <w:rPr>
                <w:b/>
                <w:color w:val="000000"/>
                <w:szCs w:val="21"/>
                <w:highlight w:val="green"/>
              </w:rPr>
            </w:pPr>
          </w:p>
        </w:tc>
        <w:tc>
          <w:tcPr>
            <w:tcW w:w="2669" w:type="dxa"/>
            <w:vAlign w:val="center"/>
          </w:tcPr>
          <w:p>
            <w:pPr>
              <w:rPr>
                <w:b/>
                <w:color w:val="000000"/>
                <w:szCs w:val="21"/>
                <w:highlight w:val="green"/>
              </w:rPr>
            </w:pPr>
          </w:p>
        </w:tc>
        <w:tc>
          <w:tcPr>
            <w:tcW w:w="361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hint="eastAsia" w:ascii="宋体" w:eastAsia="宋体"/>
                <w:b/>
                <w:color w:val="000000"/>
                <w:szCs w:val="21"/>
                <w:lang w:eastAsia="zh-CN"/>
              </w:rPr>
            </w:pPr>
            <w:r>
              <w:rPr>
                <w:rFonts w:hint="eastAsia" w:ascii="宋体"/>
                <w:b/>
                <w:color w:val="000000"/>
                <w:szCs w:val="21"/>
                <w:lang w:eastAsia="zh-CN"/>
              </w:rPr>
              <w:t>四川轩城首创建设工程有限公司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四川省德阳市旌阳区黄许镇金桥村2组</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618007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四川省德阳市旌阳区黄许镇金桥村2组</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618007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何围</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13340871320</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李维</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邱斌</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eastAsia" w:ascii="宋体" w:hAnsi="宋体" w:eastAsia="宋体"/>
                <w:b/>
                <w:color w:val="000000"/>
                <w:szCs w:val="21"/>
                <w:lang w:eastAsia="zh-CN"/>
              </w:rPr>
            </w:pPr>
            <w:r>
              <w:rPr>
                <w:rFonts w:hint="eastAsia"/>
                <w:lang w:eastAsia="zh-CN"/>
              </w:rPr>
              <w:t>资质范围内的建筑工程、市政公用工程、石油化工工程（含压力管道的安装）总承包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default" w:eastAsia="宋体"/>
                <w:color w:val="000000"/>
                <w:szCs w:val="18"/>
                <w:lang w:val="en-US" w:eastAsia="zh-CN"/>
              </w:rPr>
            </w:pPr>
            <w:r>
              <w:rPr>
                <w:rFonts w:hint="eastAsia"/>
                <w:color w:val="000000"/>
                <w:szCs w:val="18"/>
                <w:lang w:val="en-US" w:eastAsia="zh-CN"/>
              </w:rPr>
              <w:t>合同评审—资源配置—资料收集—编制施工组织设计—进行施工—过程控制及验收—竣工验收—交付后活动</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lang w:eastAsia="zh-CN"/>
              </w:rPr>
              <w:t>资质范围内的建筑工程、市政公用工程、石油化工工程（含压力管道的安装）总承包</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28.02.00;28.04.01;28.07.02;28.07.03A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lang w:eastAsia="zh-CN"/>
              </w:rPr>
              <w:t>资质范围内的建筑工程、市政公用工程、石油化工工程（含压力管道的安装）总承包</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28.02.00;28.04.01;28.07.02;28.07.03A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rFonts w:hint="eastAsia"/>
                <w:lang w:eastAsia="zh-CN"/>
              </w:rPr>
              <w:t>资质范围内的建筑工程、市政公用工程、石油化工工程（含压力管道的安装）总承包</w:t>
            </w:r>
            <w:r>
              <w:t>所涉及场所的相关环境管理活动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28.02.00;28.04.01;28.07.02;28.07.03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lang w:eastAsia="zh-CN"/>
              </w:rPr>
              <w:t>资质范围内的建筑工程、市政公用工程、石油化工工程（含压力管道的安装）总承包</w:t>
            </w:r>
            <w:r>
              <w:t>所涉及场所的相关职业健康安全管理活动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28.02.00;28.04.01;28.07.02;28.07.03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b/>
                <w:color w:val="00000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89"/>
        <w:gridCol w:w="641"/>
        <w:gridCol w:w="2168"/>
        <w:gridCol w:w="171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8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4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168"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12"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rPr>
                <w:rFonts w:hint="eastAsia" w:ascii="Times New Roman" w:hAnsi="Times New Roman" w:eastAsia="宋体" w:cs="Times New Roman"/>
                <w:kern w:val="2"/>
                <w:sz w:val="21"/>
                <w:szCs w:val="24"/>
                <w:lang w:val="de-DE" w:eastAsia="zh-CN" w:bidi="ar-SA"/>
              </w:rPr>
            </w:pPr>
            <w:r>
              <w:rPr>
                <w:rFonts w:hint="eastAsia"/>
                <w:lang w:eastAsia="zh-CN"/>
              </w:rPr>
              <w:t>四川轩城首创建设工程有限公司</w:t>
            </w:r>
            <w:r>
              <w:rPr>
                <w:rFonts w:hint="eastAsia"/>
                <w:lang w:val="en-US" w:eastAsia="zh-CN"/>
              </w:rPr>
              <w:t>/</w:t>
            </w:r>
            <w:r>
              <w:rPr>
                <w:rFonts w:hint="eastAsia"/>
                <w:lang w:eastAsia="zh-CN"/>
              </w:rPr>
              <w:t>四川省德阳市旌阳区黄许镇金桥村2组</w:t>
            </w:r>
          </w:p>
        </w:tc>
        <w:tc>
          <w:tcPr>
            <w:tcW w:w="1789" w:type="dxa"/>
            <w:vAlign w:val="top"/>
          </w:tcPr>
          <w:p>
            <w:pPr>
              <w:rPr>
                <w:rFonts w:hint="eastAsia" w:ascii="Times New Roman" w:hAnsi="Times New Roman" w:eastAsia="宋体" w:cs="Times New Roman"/>
                <w:kern w:val="2"/>
                <w:sz w:val="21"/>
                <w:szCs w:val="24"/>
                <w:lang w:val="de-DE" w:eastAsia="zh-CN" w:bidi="ar-SA"/>
              </w:rPr>
            </w:pPr>
            <w:r>
              <w:rPr>
                <w:rFonts w:hint="eastAsia"/>
                <w:lang w:eastAsia="zh-CN"/>
              </w:rPr>
              <w:t>四川省德阳市旌阳区黄许镇金桥村2组</w:t>
            </w:r>
          </w:p>
        </w:tc>
        <w:tc>
          <w:tcPr>
            <w:tcW w:w="641" w:type="dxa"/>
            <w:vAlign w:val="center"/>
          </w:tcPr>
          <w:p>
            <w:pPr>
              <w:jc w:val="center"/>
              <w:rPr>
                <w:rFonts w:hint="default" w:ascii="Times New Roman" w:hAnsi="Times New Roman" w:eastAsia="宋体" w:cs="Times New Roman"/>
                <w:kern w:val="2"/>
                <w:sz w:val="21"/>
                <w:szCs w:val="24"/>
                <w:lang w:val="en-US" w:eastAsia="ja-JP" w:bidi="ar-SA"/>
              </w:rPr>
            </w:pPr>
            <w:r>
              <w:rPr>
                <w:rFonts w:hint="eastAsia"/>
                <w:lang w:val="en-US" w:eastAsia="zh-CN"/>
              </w:rPr>
              <w:t>51</w:t>
            </w:r>
          </w:p>
        </w:tc>
        <w:tc>
          <w:tcPr>
            <w:tcW w:w="2168" w:type="dxa"/>
            <w:vAlign w:val="center"/>
          </w:tcPr>
          <w:p>
            <w:pPr>
              <w:rPr>
                <w:rFonts w:ascii="Times New Roman" w:hAnsi="Times New Roman" w:eastAsia="宋体" w:cs="Times New Roman"/>
                <w:kern w:val="2"/>
                <w:sz w:val="21"/>
                <w:szCs w:val="24"/>
                <w:lang w:val="en-US" w:eastAsia="ja-JP" w:bidi="ar-SA"/>
              </w:rPr>
            </w:pPr>
            <w:r>
              <w:rPr>
                <w:rFonts w:hint="eastAsia"/>
                <w:sz w:val="20"/>
                <w:lang w:eastAsia="zh-CN"/>
              </w:rPr>
              <w:t>资质范围内的建筑工程、市政公用工程、石油化工工程（含压力管道的安装）总承包</w:t>
            </w:r>
          </w:p>
        </w:tc>
        <w:tc>
          <w:tcPr>
            <w:tcW w:w="1712" w:type="dxa"/>
            <w:vAlign w:val="center"/>
          </w:tcPr>
          <w:p>
            <w:pPr>
              <w:rPr>
                <w:rFonts w:hint="eastAsia" w:ascii="Times New Roman" w:hAnsi="Times New Roman" w:eastAsia="宋体" w:cs="Times New Roman"/>
                <w:kern w:val="2"/>
                <w:sz w:val="21"/>
                <w:szCs w:val="24"/>
                <w:lang w:val="en-US" w:eastAsia="ja-JP" w:bidi="ar-SA"/>
              </w:rPr>
            </w:pPr>
            <w:r>
              <w:rPr>
                <w:rFonts w:hint="eastAsia" w:ascii="宋体" w:hAnsi="宋体"/>
                <w:b/>
                <w:sz w:val="21"/>
                <w:szCs w:val="21"/>
              </w:rPr>
              <w:t>GB/T19001-2016GB/T50430-2017GB/T24001-2016GB/T45001-2020</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ascii="Times New Roman" w:hAnsi="Times New Roman" w:eastAsia="宋体" w:cs="Times New Roman"/>
                <w:color w:val="000000"/>
                <w:kern w:val="2"/>
                <w:sz w:val="21"/>
                <w:szCs w:val="24"/>
                <w:lang w:val="en-US" w:eastAsia="ja-JP" w:bidi="ar-SA"/>
              </w:rPr>
              <w:t>德阳高新区新青线120-141号桩段输气管道迁改项目(白琮路)</w:t>
            </w:r>
          </w:p>
        </w:tc>
        <w:tc>
          <w:tcPr>
            <w:tcW w:w="1789" w:type="dxa"/>
            <w:vAlign w:val="center"/>
          </w:tcPr>
          <w:p>
            <w:pPr>
              <w:jc w:val="center"/>
              <w:rPr>
                <w:rFonts w:hint="default" w:ascii="Times New Roman" w:hAnsi="Times New Roman" w:eastAsia="宋体" w:cs="Times New Roman"/>
                <w:color w:val="000000"/>
                <w:kern w:val="2"/>
                <w:sz w:val="21"/>
                <w:szCs w:val="24"/>
                <w:lang w:val="en-US" w:eastAsia="ja-JP" w:bidi="ar-SA"/>
              </w:rPr>
            </w:pPr>
            <w:r>
              <w:rPr>
                <w:rFonts w:hint="default" w:ascii="Times New Roman" w:hAnsi="Times New Roman" w:eastAsia="宋体" w:cs="Times New Roman"/>
                <w:color w:val="000000"/>
                <w:kern w:val="2"/>
                <w:sz w:val="21"/>
                <w:szCs w:val="24"/>
                <w:lang w:val="en-US" w:eastAsia="ja-JP" w:bidi="ar-SA"/>
              </w:rPr>
              <w:t>德阳市广汉市高新区</w:t>
            </w:r>
          </w:p>
        </w:tc>
        <w:tc>
          <w:tcPr>
            <w:tcW w:w="641" w:type="dxa"/>
            <w:vAlign w:val="center"/>
          </w:tcPr>
          <w:p>
            <w:pPr>
              <w:pStyle w:val="25"/>
              <w:jc w:val="center"/>
              <w:rPr>
                <w:rFonts w:hint="eastAsia" w:ascii="Times New Roman" w:hAnsi="Times New Roman" w:eastAsia="宋体" w:cs="Times New Roman"/>
                <w:color w:val="000000"/>
                <w:kern w:val="2"/>
                <w:sz w:val="21"/>
                <w:szCs w:val="24"/>
                <w:lang w:val="en-US" w:eastAsia="ja-JP" w:bidi="ar-SA"/>
              </w:rPr>
            </w:pPr>
            <w:r>
              <w:rPr>
                <w:rFonts w:hint="eastAsia" w:ascii="Times New Roman" w:hAnsi="宋体" w:eastAsia="宋体" w:cs="宋体"/>
                <w:kern w:val="2"/>
                <w:sz w:val="20"/>
                <w:szCs w:val="22"/>
                <w:lang w:val="en-US" w:eastAsia="zh-CN" w:bidi="zh-CN"/>
              </w:rPr>
              <w:t>12</w:t>
            </w:r>
          </w:p>
        </w:tc>
        <w:tc>
          <w:tcPr>
            <w:tcW w:w="2168" w:type="dxa"/>
            <w:vAlign w:val="center"/>
          </w:tcPr>
          <w:p>
            <w:pPr>
              <w:jc w:val="center"/>
              <w:rPr>
                <w:rFonts w:hint="default" w:ascii="Times New Roman" w:hAnsi="Times New Roman" w:eastAsia="宋体" w:cs="Times New Roman"/>
                <w:color w:val="000000"/>
                <w:kern w:val="2"/>
                <w:sz w:val="21"/>
                <w:szCs w:val="24"/>
                <w:lang w:val="en-US" w:eastAsia="ja-JP" w:bidi="ar-SA"/>
              </w:rPr>
            </w:pPr>
            <w:r>
              <w:rPr>
                <w:rFonts w:hint="eastAsia"/>
                <w:sz w:val="20"/>
                <w:lang w:eastAsia="zh-CN"/>
              </w:rPr>
              <w:t>资质范围内的市政公用工程、石油化工工程（含压力管道的安装）总承包</w:t>
            </w:r>
          </w:p>
        </w:tc>
        <w:tc>
          <w:tcPr>
            <w:tcW w:w="1712"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GB/T19001-2016GB/T50430-2017GB/T24001-2016GB/T45001-2020</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ascii="Times New Roman" w:hAnsi="Times New Roman" w:eastAsia="宋体" w:cs="Times New Roman"/>
                <w:color w:val="000000"/>
                <w:kern w:val="2"/>
                <w:sz w:val="21"/>
                <w:szCs w:val="24"/>
                <w:lang w:val="en-US" w:eastAsia="ja-JP" w:bidi="ar-SA"/>
              </w:rPr>
              <w:t>抛光公用设施建设工程</w:t>
            </w:r>
          </w:p>
        </w:tc>
        <w:tc>
          <w:tcPr>
            <w:tcW w:w="1789"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ascii="Times New Roman" w:hAnsi="Times New Roman" w:eastAsia="宋体" w:cs="Times New Roman"/>
                <w:color w:val="000000"/>
                <w:kern w:val="2"/>
                <w:sz w:val="21"/>
                <w:szCs w:val="24"/>
                <w:lang w:val="en-US" w:eastAsia="ja-JP" w:bidi="ar-SA"/>
              </w:rPr>
              <w:t>德阳市八角镇</w:t>
            </w:r>
          </w:p>
        </w:tc>
        <w:tc>
          <w:tcPr>
            <w:tcW w:w="641" w:type="dxa"/>
            <w:vAlign w:val="center"/>
          </w:tcPr>
          <w:p>
            <w:pPr>
              <w:pStyle w:val="25"/>
              <w:jc w:val="center"/>
              <w:rPr>
                <w:rFonts w:hint="default" w:ascii="Times New Roman" w:hAnsi="Times New Roman" w:eastAsia="宋体" w:cs="Times New Roman"/>
                <w:color w:val="000000"/>
                <w:kern w:val="2"/>
                <w:sz w:val="21"/>
                <w:szCs w:val="24"/>
                <w:lang w:val="en-US" w:eastAsia="ja-JP" w:bidi="ar-SA"/>
              </w:rPr>
            </w:pPr>
            <w:r>
              <w:rPr>
                <w:rFonts w:hint="eastAsia" w:ascii="Times New Roman"/>
                <w:sz w:val="20"/>
                <w:lang w:val="en-US" w:eastAsia="zh-CN"/>
              </w:rPr>
              <w:t>30</w:t>
            </w:r>
          </w:p>
        </w:tc>
        <w:tc>
          <w:tcPr>
            <w:tcW w:w="2168"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sz w:val="20"/>
                <w:lang w:eastAsia="zh-CN"/>
              </w:rPr>
              <w:t>资质范围内的建筑工程总承包</w:t>
            </w:r>
          </w:p>
        </w:tc>
        <w:tc>
          <w:tcPr>
            <w:tcW w:w="1712"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GB/T19001-2016GB/T50430-2017GB/T24001-2016GB/T45001-2020</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789" w:type="dxa"/>
            <w:vAlign w:val="center"/>
          </w:tcPr>
          <w:p>
            <w:pPr>
              <w:spacing w:before="40" w:after="40"/>
              <w:rPr>
                <w:rFonts w:eastAsia="黑体"/>
                <w:szCs w:val="21"/>
                <w:lang w:eastAsia="ja-JP"/>
              </w:rPr>
            </w:pPr>
          </w:p>
        </w:tc>
        <w:tc>
          <w:tcPr>
            <w:tcW w:w="641" w:type="dxa"/>
            <w:vAlign w:val="center"/>
          </w:tcPr>
          <w:p>
            <w:pPr>
              <w:spacing w:before="40" w:after="40"/>
              <w:rPr>
                <w:rFonts w:eastAsia="黑体"/>
                <w:szCs w:val="21"/>
                <w:lang w:eastAsia="ja-JP"/>
              </w:rPr>
            </w:pPr>
          </w:p>
        </w:tc>
        <w:tc>
          <w:tcPr>
            <w:tcW w:w="2168" w:type="dxa"/>
            <w:vAlign w:val="center"/>
          </w:tcPr>
          <w:p>
            <w:pPr>
              <w:spacing w:before="40" w:after="40"/>
              <w:rPr>
                <w:rFonts w:eastAsia="黑体"/>
                <w:szCs w:val="21"/>
                <w:lang w:eastAsia="ja-JP"/>
              </w:rPr>
            </w:pPr>
          </w:p>
        </w:tc>
        <w:tc>
          <w:tcPr>
            <w:tcW w:w="1712"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789" w:type="dxa"/>
            <w:vAlign w:val="center"/>
          </w:tcPr>
          <w:p>
            <w:pPr>
              <w:spacing w:before="40" w:after="40"/>
              <w:rPr>
                <w:rFonts w:eastAsia="黑体"/>
                <w:szCs w:val="21"/>
                <w:lang w:eastAsia="ja-JP"/>
              </w:rPr>
            </w:pPr>
          </w:p>
        </w:tc>
        <w:tc>
          <w:tcPr>
            <w:tcW w:w="641" w:type="dxa"/>
            <w:vAlign w:val="center"/>
          </w:tcPr>
          <w:p>
            <w:pPr>
              <w:spacing w:before="40" w:after="40"/>
              <w:rPr>
                <w:rFonts w:eastAsia="黑体"/>
                <w:szCs w:val="21"/>
                <w:lang w:eastAsia="ja-JP"/>
              </w:rPr>
            </w:pPr>
          </w:p>
        </w:tc>
        <w:tc>
          <w:tcPr>
            <w:tcW w:w="2168" w:type="dxa"/>
            <w:vAlign w:val="center"/>
          </w:tcPr>
          <w:p>
            <w:pPr>
              <w:spacing w:before="40" w:after="40"/>
              <w:rPr>
                <w:rFonts w:eastAsia="黑体"/>
                <w:szCs w:val="21"/>
                <w:lang w:eastAsia="ja-JP"/>
              </w:rPr>
            </w:pPr>
          </w:p>
        </w:tc>
        <w:tc>
          <w:tcPr>
            <w:tcW w:w="1712"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eastAsia="宋体"/>
                <w:b/>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b/>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b/>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sdt>
              <w:sdtPr>
                <w:rPr>
                  <w:rFonts w:eastAsia="黑体"/>
                  <w:szCs w:val="21"/>
                </w:rPr>
                <w:id w:val="-1648588699"/>
              </w:sdtPr>
              <w:sdtEndPr>
                <w:rPr>
                  <w:rFonts w:eastAsia="黑体"/>
                  <w:szCs w:val="21"/>
                </w:rPr>
              </w:sdtEndP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b/>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eastAsia="宋体"/>
                <w:b/>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eastAsia="宋体"/>
                <w:b/>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eastAsia="宋体"/>
                <w:b/>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b/>
                <w:sz w:val="21"/>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eastAsia="宋体" w:cs="Times New Roman"/>
                <w:b/>
                <w:color w:val="000000"/>
                <w:szCs w:val="21"/>
              </w:rPr>
              <w:t>于2021年10月20日起</w:t>
            </w:r>
            <w:r>
              <w:rPr>
                <w:rFonts w:hint="eastAsia" w:ascii="宋体" w:hAnsi="宋体"/>
                <w:b/>
                <w:color w:val="000000"/>
                <w:szCs w:val="21"/>
              </w:rPr>
              <w:t>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b/>
                <w:sz w:val="21"/>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eastAsia="宋体" w:cs="Times New Roman"/>
                <w:b/>
                <w:color w:val="000000"/>
                <w:szCs w:val="21"/>
              </w:rPr>
            </w:pPr>
            <w:r>
              <w:rPr>
                <w:rFonts w:hint="eastAsia" w:ascii="宋体" w:hAnsi="宋体" w:eastAsia="宋体" w:cs="Times New Roman"/>
                <w:b/>
                <w:color w:val="000000"/>
                <w:szCs w:val="21"/>
              </w:rPr>
              <w:t>11.已根据策划和标准要求于</w:t>
            </w:r>
            <w:r>
              <w:rPr>
                <w:rFonts w:hint="eastAsia" w:ascii="宋体" w:hAnsi="宋体" w:eastAsia="宋体" w:cs="Times New Roman"/>
                <w:b/>
                <w:color w:val="000000"/>
                <w:szCs w:val="21"/>
                <w:lang w:eastAsia="zh-CN"/>
              </w:rPr>
              <w:t>2021年12月</w:t>
            </w:r>
            <w:r>
              <w:rPr>
                <w:rFonts w:hint="eastAsia" w:ascii="宋体" w:hAnsi="宋体" w:eastAsia="宋体" w:cs="Times New Roman"/>
                <w:b/>
                <w:color w:val="000000"/>
                <w:szCs w:val="21"/>
                <w:lang w:val="en-US" w:eastAsia="zh-CN"/>
              </w:rPr>
              <w:t>15</w:t>
            </w:r>
            <w:r>
              <w:rPr>
                <w:rFonts w:hint="eastAsia" w:ascii="宋体" w:hAnsi="宋体" w:eastAsia="宋体" w:cs="Times New Roman"/>
                <w:b/>
                <w:color w:val="000000"/>
                <w:szCs w:val="21"/>
              </w:rPr>
              <w:t>日</w:t>
            </w:r>
            <w:r>
              <w:rPr>
                <w:rFonts w:hint="eastAsia" w:ascii="宋体" w:hAnsi="宋体" w:eastAsia="宋体" w:cs="Times New Roman"/>
                <w:b/>
                <w:color w:val="000000"/>
                <w:szCs w:val="21"/>
                <w:lang w:val="en-US" w:eastAsia="zh-CN"/>
              </w:rPr>
              <w:t>-16日</w:t>
            </w:r>
            <w:r>
              <w:rPr>
                <w:rFonts w:hint="eastAsia" w:ascii="宋体" w:hAnsi="宋体" w:eastAsia="宋体" w:cs="Times New Roman"/>
                <w:b/>
                <w:color w:val="000000"/>
                <w:szCs w:val="21"/>
              </w:rPr>
              <w:t>由有能力的人实施了内部审核，覆盖所有场所、部门和过程，</w:t>
            </w:r>
            <w:r>
              <w:rPr>
                <w:rFonts w:hint="eastAsia" w:ascii="宋体" w:hAnsi="宋体" w:eastAsia="宋体" w:cs="Times New Roman"/>
                <w:b/>
                <w:color w:val="000000"/>
                <w:szCs w:val="21"/>
                <w:lang w:val="en-GB"/>
              </w:rPr>
              <w:t>组织通过内审验证了管理体系的</w:t>
            </w:r>
            <w:r>
              <w:rPr>
                <w:rFonts w:hint="eastAsia" w:ascii="宋体" w:hAnsi="宋体" w:eastAsia="宋体" w:cs="Times New Roman"/>
                <w:b/>
                <w:color w:val="000000"/>
                <w:szCs w:val="21"/>
              </w:rPr>
              <w:t>符合性</w:t>
            </w:r>
            <w:r>
              <w:rPr>
                <w:rFonts w:hint="eastAsia" w:ascii="宋体" w:hAnsi="宋体" w:eastAsia="宋体" w:cs="Times New Roman"/>
                <w:b/>
                <w:color w:val="000000"/>
                <w:szCs w:val="21"/>
                <w:lang w:val="en-GB"/>
              </w:rPr>
              <w:t>及有效性，</w:t>
            </w:r>
            <w:r>
              <w:rPr>
                <w:rFonts w:hint="eastAsia" w:ascii="宋体" w:hAnsi="宋体" w:eastAsia="宋体" w:cs="Times New Roman"/>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hint="eastAsia" w:ascii="宋体" w:hAnsi="宋体" w:eastAsia="宋体" w:cs="Times New Roman"/>
                <w:b/>
                <w:color w:val="000000"/>
                <w:kern w:val="2"/>
                <w:sz w:val="21"/>
                <w:szCs w:val="21"/>
                <w:lang w:val="en-GB" w:eastAsia="zh-CN" w:bidi="ar-SA"/>
              </w:rPr>
            </w:pPr>
            <w:r>
              <w:rPr>
                <w:rFonts w:hint="eastAsia" w:ascii="宋体" w:hAnsi="宋体" w:eastAsia="宋体" w:cs="Times New Roman"/>
                <w:b/>
                <w:color w:val="000000"/>
                <w:kern w:val="2"/>
                <w:sz w:val="21"/>
                <w:szCs w:val="21"/>
                <w:lang w:val="en-US" w:eastAsia="zh-CN" w:bidi="ar-SA"/>
              </w:rPr>
              <w:t>12.已根据策划于2022年1月20日完成管理评审，包括所有标准要求的输入和输出,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rPr>
              <w:t>焊接、防水施工、隐蔽工程施工</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rPr>
              <w:t>焊接、防水施工、隐蔽工程施工</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b/>
                <w:sz w:val="21"/>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b/>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b/>
                <w:sz w:val="21"/>
                <w:szCs w:val="21"/>
                <w:lang w:eastAsia="zh-CN"/>
              </w:rPr>
              <w:t>■</w:t>
            </w:r>
            <w:r>
              <w:rPr>
                <w:rFonts w:hint="eastAsia" w:ascii="宋体" w:hAnsi="宋体"/>
                <w:b/>
                <w:color w:val="000000"/>
                <w:sz w:val="20"/>
                <w:szCs w:val="20"/>
              </w:rPr>
              <w:t>检验、</w:t>
            </w:r>
            <w:r>
              <w:rPr>
                <w:rFonts w:hint="eastAsia" w:ascii="宋体" w:hAnsi="宋体" w:eastAsia="宋体"/>
                <w:b/>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eastAsia="宋体"/>
                <w:b/>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hAnsi="宋体" w:eastAsia="宋体"/>
                <w:b/>
                <w:sz w:val="21"/>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b/>
                <w:sz w:val="21"/>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w:t>
            </w:r>
            <w:r>
              <w:rPr>
                <w:rFonts w:hint="eastAsia" w:ascii="宋体" w:hAnsi="宋体" w:eastAsia="宋体"/>
                <w:b/>
                <w:sz w:val="21"/>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b/>
                <w:sz w:val="21"/>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rPr>
                <w:rFonts w:hint="default"/>
                <w:color w:val="000000"/>
                <w:szCs w:val="21"/>
                <w:highlight w:val="none"/>
                <w:u w:val="single"/>
                <w:lang w:val="en-US"/>
              </w:rPr>
            </w:pPr>
            <w:r>
              <w:rPr>
                <w:rFonts w:hint="eastAsia"/>
                <w:color w:val="000000"/>
                <w:highlight w:val="none"/>
              </w:rPr>
              <w:t>现场1：德阳高新区新青线120-141号桩段输气管道迁改项目(白琮路)</w:t>
            </w:r>
            <w:r>
              <w:rPr>
                <w:rFonts w:hint="eastAsia"/>
                <w:color w:val="000000"/>
                <w:highlight w:val="none"/>
                <w:lang w:val="en-US" w:eastAsia="zh-CN"/>
              </w:rPr>
              <w:t>/德阳市广汉市高新区</w:t>
            </w:r>
            <w:r>
              <w:rPr>
                <w:rFonts w:hint="eastAsia" w:eastAsia="宋体"/>
                <w:color w:val="000000"/>
                <w:highlight w:val="none"/>
                <w:lang w:val="en-US" w:eastAsia="zh-CN"/>
              </w:rPr>
              <w:t>/</w:t>
            </w:r>
            <w:r>
              <w:rPr>
                <w:rFonts w:hint="eastAsia"/>
                <w:color w:val="000000"/>
                <w:highlight w:val="none"/>
                <w:lang w:val="en-US" w:eastAsia="zh-CN"/>
              </w:rPr>
              <w:t>30</w:t>
            </w:r>
            <w:r>
              <w:rPr>
                <w:rFonts w:hint="eastAsia" w:eastAsia="宋体"/>
                <w:color w:val="000000"/>
                <w:highlight w:val="none"/>
                <w:lang w:val="en-US" w:eastAsia="zh-CN"/>
              </w:rPr>
              <w:t>min</w:t>
            </w:r>
          </w:p>
          <w:p>
            <w:pPr>
              <w:rPr>
                <w:rFonts w:ascii="宋体"/>
                <w:b/>
                <w:color w:val="000000"/>
                <w:szCs w:val="21"/>
              </w:rPr>
            </w:pPr>
            <w:r>
              <w:rPr>
                <w:rFonts w:hint="eastAsia"/>
                <w:color w:val="000000"/>
                <w:highlight w:val="none"/>
              </w:rPr>
              <w:t>现场</w:t>
            </w:r>
            <w:r>
              <w:rPr>
                <w:color w:val="000000"/>
                <w:highlight w:val="none"/>
              </w:rPr>
              <w:t>2</w:t>
            </w:r>
            <w:r>
              <w:rPr>
                <w:rFonts w:hint="eastAsia"/>
                <w:color w:val="000000"/>
                <w:highlight w:val="none"/>
              </w:rPr>
              <w:t>：抛光公用设施建设工程施工</w:t>
            </w:r>
            <w:r>
              <w:rPr>
                <w:rFonts w:hint="eastAsia"/>
                <w:color w:val="000000"/>
                <w:highlight w:val="none"/>
                <w:lang w:val="en-US" w:eastAsia="zh-CN"/>
              </w:rPr>
              <w:t>/德阳市八角</w:t>
            </w:r>
            <w:r>
              <w:rPr>
                <w:rFonts w:hint="eastAsia" w:eastAsia="宋体"/>
                <w:color w:val="000000"/>
                <w:highlight w:val="none"/>
                <w:lang w:val="en-US" w:eastAsia="zh-CN"/>
              </w:rPr>
              <w:t>镇/</w:t>
            </w:r>
            <w:r>
              <w:rPr>
                <w:rFonts w:hint="eastAsia"/>
                <w:color w:val="000000"/>
                <w:highlight w:val="none"/>
                <w:lang w:val="en-US" w:eastAsia="zh-CN"/>
              </w:rPr>
              <w:t>3</w:t>
            </w:r>
            <w:r>
              <w:rPr>
                <w:rFonts w:hint="eastAsia" w:eastAsia="宋体"/>
                <w:color w:val="000000"/>
                <w:highlight w:val="none"/>
                <w:lang w:val="en-US" w:eastAsia="zh-CN"/>
              </w:rPr>
              <w:t>0min</w:t>
            </w:r>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b/>
                <w:sz w:val="21"/>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10" w:name="二阶段审核日期"/>
            <w:r>
              <w:rPr>
                <w:rFonts w:hint="eastAsia" w:ascii="宋体"/>
                <w:b/>
                <w:color w:val="000000"/>
                <w:szCs w:val="21"/>
              </w:rPr>
              <w:t>2022-0</w:t>
            </w:r>
            <w:r>
              <w:rPr>
                <w:rFonts w:hint="eastAsia" w:ascii="宋体"/>
                <w:b/>
                <w:color w:val="000000"/>
                <w:szCs w:val="21"/>
                <w:lang w:val="en-US" w:eastAsia="zh-CN"/>
              </w:rPr>
              <w:t>8</w:t>
            </w:r>
            <w:r>
              <w:rPr>
                <w:rFonts w:hint="eastAsia" w:ascii="宋体"/>
                <w:b/>
                <w:color w:val="000000"/>
                <w:szCs w:val="21"/>
              </w:rPr>
              <w:t>-1</w:t>
            </w:r>
            <w:bookmarkEnd w:id="10"/>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eastAsia="宋体"/>
                <w:b/>
                <w:sz w:val="21"/>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b/>
                <w:sz w:val="21"/>
                <w:szCs w:val="21"/>
                <w:lang w:eastAsia="zh-CN"/>
              </w:rPr>
              <w:t>■</w:t>
            </w:r>
            <w:r>
              <w:rPr>
                <w:rFonts w:ascii="宋体" w:hAnsi="宋体"/>
                <w:b/>
                <w:color w:val="000000"/>
                <w:szCs w:val="21"/>
              </w:rPr>
              <w:t>QMS/</w:t>
            </w:r>
            <w:r>
              <w:rPr>
                <w:rFonts w:hint="eastAsia" w:ascii="宋体" w:hAnsi="宋体" w:eastAsia="宋体"/>
                <w:b/>
                <w:sz w:val="21"/>
                <w:szCs w:val="21"/>
                <w:lang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b/>
                <w:sz w:val="21"/>
                <w:szCs w:val="21"/>
                <w:lang w:eastAsia="zh-CN"/>
              </w:rPr>
              <w:t>■</w:t>
            </w:r>
            <w:r>
              <w:rPr>
                <w:rFonts w:ascii="宋体" w:hAnsi="宋体"/>
                <w:b/>
                <w:color w:val="000000"/>
                <w:szCs w:val="21"/>
              </w:rPr>
              <w:t>EMS/</w:t>
            </w:r>
            <w:r>
              <w:rPr>
                <w:rFonts w:hint="eastAsia" w:ascii="宋体" w:hAnsi="宋体" w:eastAsia="宋体"/>
                <w:b/>
                <w:sz w:val="21"/>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b/>
                <w:sz w:val="21"/>
                <w:szCs w:val="21"/>
                <w:lang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b/>
                <w:sz w:val="21"/>
                <w:szCs w:val="21"/>
                <w:lang w:eastAsia="zh-CN"/>
              </w:rPr>
              <w:t>■</w:t>
            </w:r>
            <w:r>
              <w:rPr>
                <w:rFonts w:ascii="宋体" w:hAnsi="宋体"/>
                <w:b/>
                <w:color w:val="000000"/>
                <w:szCs w:val="21"/>
              </w:rPr>
              <w:t>QMS/</w:t>
            </w:r>
            <w:r>
              <w:rPr>
                <w:rFonts w:hint="eastAsia" w:ascii="宋体" w:hAnsi="宋体" w:eastAsia="宋体"/>
                <w:b/>
                <w:sz w:val="21"/>
                <w:szCs w:val="21"/>
                <w:lang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b/>
                <w:sz w:val="21"/>
                <w:szCs w:val="21"/>
                <w:lang w:eastAsia="zh-CN"/>
              </w:rPr>
              <w:t>■</w:t>
            </w:r>
            <w:r>
              <w:rPr>
                <w:rFonts w:ascii="宋体" w:hAnsi="宋体"/>
                <w:b/>
                <w:color w:val="000000"/>
                <w:szCs w:val="21"/>
              </w:rPr>
              <w:t>EMS/</w:t>
            </w:r>
            <w:r>
              <w:rPr>
                <w:rFonts w:hint="eastAsia" w:ascii="宋体" w:hAnsi="宋体" w:eastAsia="宋体"/>
                <w:b/>
                <w:sz w:val="21"/>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b/>
                <w:sz w:val="21"/>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240" w:lineRule="auto"/>
              <w:rPr>
                <w:rFonts w:ascii="宋体" w:hAnsi="宋体"/>
                <w:b/>
                <w:color w:val="000000"/>
                <w:szCs w:val="21"/>
              </w:rPr>
            </w:pPr>
            <w:r>
              <w:t>资质范围内的建筑工程、市政公用工程、石油化工工程（含压力管道的安装）总承包</w:t>
            </w:r>
          </w:p>
        </w:tc>
        <w:tc>
          <w:tcPr>
            <w:tcW w:w="1541" w:type="dxa"/>
            <w:vAlign w:val="center"/>
          </w:tcPr>
          <w:p>
            <w:pPr>
              <w:spacing w:line="240" w:lineRule="auto"/>
              <w:rPr>
                <w:rFonts w:ascii="宋体" w:hAnsi="宋体"/>
                <w:b/>
                <w:color w:val="000000"/>
                <w:szCs w:val="21"/>
              </w:rPr>
            </w:pPr>
            <w:r>
              <w:t>28.02.00;28.04.01;28.07.02;28.07.03A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240" w:lineRule="auto"/>
              <w:rPr>
                <w:rFonts w:ascii="宋体" w:hAnsi="宋体"/>
                <w:b/>
                <w:color w:val="000000"/>
                <w:szCs w:val="21"/>
              </w:rPr>
            </w:pPr>
            <w:r>
              <w:t>资质范围内的建筑工程、市政公用工程、石油化工工程（含压力管道的安装）总承包所涉及场所的相关环境管理活动</w:t>
            </w:r>
          </w:p>
        </w:tc>
        <w:tc>
          <w:tcPr>
            <w:tcW w:w="1541" w:type="dxa"/>
            <w:vAlign w:val="center"/>
          </w:tcPr>
          <w:p>
            <w:pPr>
              <w:spacing w:line="240" w:lineRule="auto"/>
              <w:rPr>
                <w:rFonts w:ascii="宋体" w:hAnsi="宋体"/>
                <w:b/>
                <w:color w:val="000000"/>
                <w:szCs w:val="21"/>
              </w:rPr>
            </w:pPr>
            <w:r>
              <w:t>28.02.00;28.04.01;28.07.02;28.07.03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240" w:lineRule="auto"/>
              <w:rPr>
                <w:rFonts w:ascii="宋体" w:hAnsi="宋体"/>
                <w:b/>
                <w:color w:val="000000"/>
                <w:szCs w:val="21"/>
              </w:rPr>
            </w:pPr>
            <w:r>
              <w:t>资质范围内的建筑工程、市政公用工程、石油化工工程（含压力管道的安装）总承包所涉及场所的相关职业健康安全管理活动</w:t>
            </w:r>
          </w:p>
        </w:tc>
        <w:tc>
          <w:tcPr>
            <w:tcW w:w="1541" w:type="dxa"/>
            <w:vAlign w:val="center"/>
          </w:tcPr>
          <w:p>
            <w:pPr>
              <w:spacing w:line="240" w:lineRule="auto"/>
              <w:rPr>
                <w:rFonts w:ascii="宋体" w:hAnsi="宋体"/>
                <w:b/>
                <w:color w:val="000000"/>
                <w:szCs w:val="21"/>
              </w:rPr>
            </w:pPr>
            <w:r>
              <w:t>28.02.00;28.04.01;28.07.02;28.07.03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 w:val="22"/>
          <w:szCs w:val="22"/>
        </w:rPr>
        <w:drawing>
          <wp:anchor distT="0" distB="0" distL="114300" distR="114300" simplePos="0" relativeHeight="251665408" behindDoc="0" locked="0" layoutInCell="1" allowOverlap="1">
            <wp:simplePos x="0" y="0"/>
            <wp:positionH relativeFrom="column">
              <wp:posOffset>5414010</wp:posOffset>
            </wp:positionH>
            <wp:positionV relativeFrom="paragraph">
              <wp:posOffset>366395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83" w:firstLineChars="400"/>
        <w:rPr>
          <w:rFonts w:ascii="宋体"/>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4199890</wp:posOffset>
            </wp:positionH>
            <wp:positionV relativeFrom="paragraph">
              <wp:posOffset>6985</wp:posOffset>
            </wp:positionV>
            <wp:extent cx="631825" cy="328930"/>
            <wp:effectExtent l="0" t="0" r="15875" b="13970"/>
            <wp:wrapNone/>
            <wp:docPr id="6"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新文档 2020-01-09 10.59.53_副本.jpg"/>
                    <pic:cNvPicPr>
                      <a:picLocks noChangeAspect="1"/>
                    </pic:cNvPicPr>
                  </pic:nvPicPr>
                  <pic:blipFill>
                    <a:blip r:embed="rId7"/>
                    <a:stretch>
                      <a:fillRect/>
                    </a:stretch>
                  </pic:blipFill>
                  <pic:spPr>
                    <a:xfrm>
                      <a:off x="0" y="0"/>
                      <a:ext cx="631825" cy="32893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4846320</wp:posOffset>
            </wp:positionH>
            <wp:positionV relativeFrom="paragraph">
              <wp:posOffset>7620</wp:posOffset>
            </wp:positionV>
            <wp:extent cx="514350" cy="323850"/>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14350" cy="32385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1768475</wp:posOffset>
            </wp:positionH>
            <wp:positionV relativeFrom="paragraph">
              <wp:posOffset>3810</wp:posOffset>
            </wp:positionV>
            <wp:extent cx="304800" cy="280670"/>
            <wp:effectExtent l="0" t="0" r="0" b="508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Desktop\文平1.jpg"/>
                    <pic:cNvPicPr>
                      <a:picLocks noChangeAspect="1"/>
                    </pic:cNvPicPr>
                  </pic:nvPicPr>
                  <pic:blipFill>
                    <a:blip r:embed="rId9"/>
                    <a:stretch>
                      <a:fillRect/>
                    </a:stretch>
                  </pic:blipFill>
                  <pic:spPr>
                    <a:xfrm>
                      <a:off x="0" y="0"/>
                      <a:ext cx="304800" cy="28067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2022年08月14日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pStyle w:val="2"/>
        <w:rPr>
          <w:rFonts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bookmarkStart w:id="11" w:name="组织名称"/>
      <w:r>
        <w:rPr>
          <w:sz w:val="21"/>
          <w:szCs w:val="21"/>
        </w:rPr>
        <w:t>四川轩城首创建设工程有限公司</w:t>
      </w:r>
      <w:bookmarkEnd w:id="11"/>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974"/>
        <w:gridCol w:w="2196"/>
        <w:gridCol w:w="1288"/>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76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196"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88"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rightChars="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762"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eastAsia="宋体"/>
                <w:color w:val="000000"/>
                <w:sz w:val="21"/>
                <w:szCs w:val="21"/>
                <w:lang w:val="en-US" w:eastAsia="zh-CN"/>
              </w:rPr>
              <w:t>焊接检验尺、红外线测温仪、地面检漏仪，不能提供有效校准或检定证书</w:t>
            </w:r>
          </w:p>
        </w:tc>
        <w:tc>
          <w:tcPr>
            <w:tcW w:w="2196" w:type="dxa"/>
            <w:vAlign w:val="center"/>
          </w:tcPr>
          <w:p>
            <w:pPr>
              <w:pStyle w:val="7"/>
              <w:pBdr>
                <w:bottom w:val="none" w:color="auto" w:sz="0" w:space="0"/>
              </w:pBdr>
              <w:ind w:right="600" w:rightChars="0"/>
              <w:jc w:val="both"/>
              <w:rPr>
                <w:color w:val="000000"/>
                <w:sz w:val="21"/>
                <w:szCs w:val="21"/>
              </w:rPr>
            </w:pPr>
            <w:r>
              <w:rPr>
                <w:rFonts w:hint="eastAsia" w:ascii="宋体" w:hAnsi="宋体"/>
                <w:b/>
                <w:sz w:val="22"/>
                <w:szCs w:val="22"/>
              </w:rPr>
              <w:t>GB/T 19001:2016</w:t>
            </w:r>
          </w:p>
        </w:tc>
        <w:tc>
          <w:tcPr>
            <w:tcW w:w="1288" w:type="dxa"/>
            <w:vAlign w:val="center"/>
          </w:tcPr>
          <w:p>
            <w:pPr>
              <w:pStyle w:val="7"/>
              <w:pBdr>
                <w:bottom w:val="none" w:color="auto" w:sz="0" w:space="0"/>
              </w:pBdr>
              <w:ind w:right="600" w:rightChars="0"/>
              <w:jc w:val="both"/>
              <w:rPr>
                <w:color w:val="000000"/>
                <w:sz w:val="21"/>
                <w:szCs w:val="21"/>
              </w:rPr>
            </w:pPr>
            <w:r>
              <w:rPr>
                <w:rFonts w:hint="eastAsia"/>
                <w:color w:val="000000"/>
                <w:sz w:val="21"/>
                <w:szCs w:val="21"/>
                <w:lang w:val="en-US" w:eastAsia="zh-CN"/>
              </w:rPr>
              <w:t>7.1.5</w:t>
            </w:r>
          </w:p>
        </w:tc>
        <w:tc>
          <w:tcPr>
            <w:tcW w:w="934" w:type="dxa"/>
            <w:vAlign w:val="center"/>
          </w:tcPr>
          <w:p>
            <w:pPr>
              <w:pStyle w:val="7"/>
              <w:pBdr>
                <w:bottom w:val="none" w:color="auto" w:sz="0" w:space="0"/>
              </w:pBdr>
              <w:ind w:right="600" w:rightChars="0"/>
              <w:jc w:val="both"/>
              <w:rPr>
                <w:color w:val="000000"/>
                <w:sz w:val="21"/>
                <w:szCs w:val="21"/>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76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96" w:type="dxa"/>
            <w:vAlign w:val="center"/>
          </w:tcPr>
          <w:p>
            <w:pPr>
              <w:pStyle w:val="7"/>
              <w:pBdr>
                <w:bottom w:val="none" w:color="auto" w:sz="0" w:space="0"/>
              </w:pBdr>
              <w:ind w:right="600"/>
              <w:jc w:val="both"/>
              <w:rPr>
                <w:color w:val="000000"/>
                <w:sz w:val="21"/>
                <w:szCs w:val="21"/>
              </w:rPr>
            </w:pPr>
          </w:p>
        </w:tc>
        <w:tc>
          <w:tcPr>
            <w:tcW w:w="1288"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76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96" w:type="dxa"/>
            <w:vAlign w:val="center"/>
          </w:tcPr>
          <w:p>
            <w:pPr>
              <w:pStyle w:val="7"/>
              <w:pBdr>
                <w:bottom w:val="none" w:color="auto" w:sz="0" w:space="0"/>
              </w:pBdr>
              <w:ind w:right="600"/>
              <w:jc w:val="both"/>
              <w:rPr>
                <w:color w:val="000000"/>
                <w:sz w:val="21"/>
                <w:szCs w:val="21"/>
              </w:rPr>
            </w:pPr>
          </w:p>
        </w:tc>
        <w:tc>
          <w:tcPr>
            <w:tcW w:w="1288"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76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96" w:type="dxa"/>
            <w:vAlign w:val="center"/>
          </w:tcPr>
          <w:p>
            <w:pPr>
              <w:pStyle w:val="7"/>
              <w:pBdr>
                <w:bottom w:val="none" w:color="auto" w:sz="0" w:space="0"/>
              </w:pBdr>
              <w:ind w:right="600"/>
              <w:jc w:val="both"/>
              <w:rPr>
                <w:color w:val="000000"/>
                <w:sz w:val="21"/>
                <w:szCs w:val="21"/>
              </w:rPr>
            </w:pPr>
          </w:p>
        </w:tc>
        <w:tc>
          <w:tcPr>
            <w:tcW w:w="1288"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762"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96" w:type="dxa"/>
            <w:vAlign w:val="center"/>
          </w:tcPr>
          <w:p>
            <w:pPr>
              <w:pStyle w:val="7"/>
              <w:pBdr>
                <w:bottom w:val="none" w:color="auto" w:sz="0" w:space="0"/>
              </w:pBdr>
              <w:ind w:right="600"/>
              <w:jc w:val="both"/>
              <w:rPr>
                <w:color w:val="000000"/>
                <w:sz w:val="21"/>
                <w:szCs w:val="21"/>
              </w:rPr>
            </w:pPr>
          </w:p>
        </w:tc>
        <w:tc>
          <w:tcPr>
            <w:tcW w:w="1288"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6432" behindDoc="0" locked="0" layoutInCell="1" allowOverlap="1">
                  <wp:simplePos x="0" y="0"/>
                  <wp:positionH relativeFrom="column">
                    <wp:posOffset>676910</wp:posOffset>
                  </wp:positionH>
                  <wp:positionV relativeFrom="paragraph">
                    <wp:posOffset>18415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7456" behindDoc="0" locked="0" layoutInCell="1" allowOverlap="1">
                  <wp:simplePos x="0" y="0"/>
                  <wp:positionH relativeFrom="column">
                    <wp:posOffset>578485</wp:posOffset>
                  </wp:positionH>
                  <wp:positionV relativeFrom="paragraph">
                    <wp:posOffset>51435</wp:posOffset>
                  </wp:positionV>
                  <wp:extent cx="371475" cy="341630"/>
                  <wp:effectExtent l="0" t="0" r="9525" b="127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jFmNDE1OTA0NjMzMTc3MjRkMDFmMDVlMjFhNzg3YjQifQ=="/>
  </w:docVars>
  <w:rsids>
    <w:rsidRoot w:val="00000000"/>
    <w:rsid w:val="01C725F7"/>
    <w:rsid w:val="01E81930"/>
    <w:rsid w:val="02DC1741"/>
    <w:rsid w:val="048E6891"/>
    <w:rsid w:val="04952C1D"/>
    <w:rsid w:val="04A0321A"/>
    <w:rsid w:val="05C23CDB"/>
    <w:rsid w:val="05C50C80"/>
    <w:rsid w:val="06BF1F04"/>
    <w:rsid w:val="087B0530"/>
    <w:rsid w:val="0AA40D42"/>
    <w:rsid w:val="0C563668"/>
    <w:rsid w:val="0E2002DE"/>
    <w:rsid w:val="0E9B1C39"/>
    <w:rsid w:val="0F057CFA"/>
    <w:rsid w:val="0F336ABC"/>
    <w:rsid w:val="0FB71DB2"/>
    <w:rsid w:val="0FD06741"/>
    <w:rsid w:val="128E689D"/>
    <w:rsid w:val="13427DB4"/>
    <w:rsid w:val="13AD740A"/>
    <w:rsid w:val="15631819"/>
    <w:rsid w:val="157B3263"/>
    <w:rsid w:val="158D16D2"/>
    <w:rsid w:val="1638549E"/>
    <w:rsid w:val="167D6DB2"/>
    <w:rsid w:val="193D3ADD"/>
    <w:rsid w:val="19987798"/>
    <w:rsid w:val="19E97E71"/>
    <w:rsid w:val="1A393593"/>
    <w:rsid w:val="1A9E662E"/>
    <w:rsid w:val="1C246E2F"/>
    <w:rsid w:val="1DDD6B5D"/>
    <w:rsid w:val="1E213A1E"/>
    <w:rsid w:val="1E3A68C3"/>
    <w:rsid w:val="1EF81877"/>
    <w:rsid w:val="1F803199"/>
    <w:rsid w:val="1FF22B62"/>
    <w:rsid w:val="205729C5"/>
    <w:rsid w:val="2059498F"/>
    <w:rsid w:val="21EA1D42"/>
    <w:rsid w:val="235147C8"/>
    <w:rsid w:val="24FE03C2"/>
    <w:rsid w:val="25893620"/>
    <w:rsid w:val="26AD66CB"/>
    <w:rsid w:val="26F63906"/>
    <w:rsid w:val="27C6075E"/>
    <w:rsid w:val="2BA70961"/>
    <w:rsid w:val="2BFF63EA"/>
    <w:rsid w:val="2C441BA0"/>
    <w:rsid w:val="2CDC2D3C"/>
    <w:rsid w:val="2DB31A09"/>
    <w:rsid w:val="2E8D23D3"/>
    <w:rsid w:val="2EEA0214"/>
    <w:rsid w:val="2F100F2F"/>
    <w:rsid w:val="2FD2007D"/>
    <w:rsid w:val="30F027A5"/>
    <w:rsid w:val="318848C6"/>
    <w:rsid w:val="33714480"/>
    <w:rsid w:val="383E025E"/>
    <w:rsid w:val="39A146C7"/>
    <w:rsid w:val="3A18499C"/>
    <w:rsid w:val="3B47390A"/>
    <w:rsid w:val="3BBA3572"/>
    <w:rsid w:val="3DFD29A6"/>
    <w:rsid w:val="3E426AC0"/>
    <w:rsid w:val="3EE34241"/>
    <w:rsid w:val="3F0822D9"/>
    <w:rsid w:val="42C55269"/>
    <w:rsid w:val="42FA5706"/>
    <w:rsid w:val="4406674E"/>
    <w:rsid w:val="44557097"/>
    <w:rsid w:val="45F53824"/>
    <w:rsid w:val="4991220D"/>
    <w:rsid w:val="4BEB27FB"/>
    <w:rsid w:val="4D565C2E"/>
    <w:rsid w:val="4F7103C4"/>
    <w:rsid w:val="507B5B9A"/>
    <w:rsid w:val="50BD6410"/>
    <w:rsid w:val="51CF43F0"/>
    <w:rsid w:val="552B1A30"/>
    <w:rsid w:val="552D48A6"/>
    <w:rsid w:val="55AC6D33"/>
    <w:rsid w:val="56301DDE"/>
    <w:rsid w:val="564C7FE8"/>
    <w:rsid w:val="56AE7383"/>
    <w:rsid w:val="592945D2"/>
    <w:rsid w:val="59783B15"/>
    <w:rsid w:val="59BC4885"/>
    <w:rsid w:val="5D0536BD"/>
    <w:rsid w:val="5DFD2B8D"/>
    <w:rsid w:val="5EE237C6"/>
    <w:rsid w:val="609B3C2C"/>
    <w:rsid w:val="6115666C"/>
    <w:rsid w:val="639312C4"/>
    <w:rsid w:val="652341F0"/>
    <w:rsid w:val="65523718"/>
    <w:rsid w:val="65962C14"/>
    <w:rsid w:val="65C256AD"/>
    <w:rsid w:val="672A7AB8"/>
    <w:rsid w:val="679A4982"/>
    <w:rsid w:val="67C37E94"/>
    <w:rsid w:val="681F24B3"/>
    <w:rsid w:val="684921C0"/>
    <w:rsid w:val="690A6288"/>
    <w:rsid w:val="69EE1271"/>
    <w:rsid w:val="6A105F59"/>
    <w:rsid w:val="6A387554"/>
    <w:rsid w:val="6A7A0D56"/>
    <w:rsid w:val="6CCD1611"/>
    <w:rsid w:val="6DB66549"/>
    <w:rsid w:val="715C11B6"/>
    <w:rsid w:val="721B5A35"/>
    <w:rsid w:val="72324E28"/>
    <w:rsid w:val="73CD1EF7"/>
    <w:rsid w:val="74D34C17"/>
    <w:rsid w:val="7600575E"/>
    <w:rsid w:val="77BF424C"/>
    <w:rsid w:val="785D10C6"/>
    <w:rsid w:val="79206F6D"/>
    <w:rsid w:val="7B0709B5"/>
    <w:rsid w:val="7B360E18"/>
    <w:rsid w:val="7B63305F"/>
    <w:rsid w:val="7B780E5A"/>
    <w:rsid w:val="7BF5023D"/>
    <w:rsid w:val="7C787DDF"/>
    <w:rsid w:val="7F4C0F23"/>
    <w:rsid w:val="7F781A30"/>
    <w:rsid w:val="7FD369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7612</Words>
  <Characters>8642</Characters>
  <Lines>67</Lines>
  <Paragraphs>18</Paragraphs>
  <TotalTime>0</TotalTime>
  <ScaleCrop>false</ScaleCrop>
  <LinksUpToDate>false</LinksUpToDate>
  <CharactersWithSpaces>8707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2022-08-22T00:58:19Z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