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0160-2020-QEO-2022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盐山县鹏润管件制造有限公司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盐山县鹏润管件制造有限公司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盐山县五里窑工业区</w:t>
            </w:r>
            <w:bookmarkEnd w:id="6"/>
          </w:p>
        </w:tc>
        <w:tc>
          <w:tcPr>
            <w:tcW w:w="1242" w:type="dxa"/>
            <w:vMerge w:val="restart"/>
            <w:vAlign w:val="center"/>
          </w:tcPr>
          <w:p>
            <w:r>
              <w:rPr>
                <w:rFonts w:hint="eastAsia"/>
              </w:rPr>
              <w:t>邮编</w:t>
            </w:r>
          </w:p>
        </w:tc>
        <w:tc>
          <w:tcPr>
            <w:tcW w:w="1771" w:type="dxa"/>
          </w:tcPr>
          <w:p>
            <w:bookmarkStart w:id="7" w:name="注册邮编"/>
            <w:r>
              <w:t>061300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盐山县五里窑工业区（沧盐路刘红庙路段）</w:t>
            </w:r>
            <w:bookmarkEnd w:id="8"/>
          </w:p>
        </w:tc>
        <w:tc>
          <w:tcPr>
            <w:tcW w:w="1242" w:type="dxa"/>
            <w:vMerge w:val="continue"/>
            <w:vAlign w:val="center"/>
          </w:tcPr>
          <w:p/>
        </w:tc>
        <w:tc>
          <w:tcPr>
            <w:tcW w:w="1771" w:type="dxa"/>
          </w:tcPr>
          <w:p>
            <w:bookmarkStart w:id="9" w:name="办公邮编"/>
            <w:r>
              <w:t>061300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董鹏</w:t>
            </w:r>
            <w:bookmarkEnd w:id="10"/>
          </w:p>
        </w:tc>
        <w:tc>
          <w:tcPr>
            <w:tcW w:w="1313" w:type="dxa"/>
            <w:vAlign w:val="center"/>
          </w:tcPr>
          <w:p>
            <w:r>
              <w:rPr>
                <w:rFonts w:hint="eastAsia"/>
              </w:rPr>
              <w:t>电话.</w:t>
            </w:r>
          </w:p>
        </w:tc>
        <w:tc>
          <w:tcPr>
            <w:tcW w:w="2180" w:type="dxa"/>
            <w:vAlign w:val="center"/>
          </w:tcPr>
          <w:p>
            <w:bookmarkStart w:id="11" w:name="联系人电话"/>
            <w:r>
              <w:t>15076761888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董乐</w:t>
            </w:r>
            <w:bookmarkEnd w:id="13"/>
          </w:p>
        </w:tc>
        <w:tc>
          <w:tcPr>
            <w:tcW w:w="1313" w:type="dxa"/>
            <w:vAlign w:val="center"/>
          </w:tcPr>
          <w:p>
            <w:r>
              <w:rPr>
                <w:rFonts w:hint="eastAsia"/>
              </w:rPr>
              <w:t>管理者代表</w:t>
            </w:r>
          </w:p>
        </w:tc>
        <w:tc>
          <w:tcPr>
            <w:tcW w:w="2180" w:type="dxa"/>
          </w:tcPr>
          <w:p>
            <w:bookmarkStart w:id="14" w:name="管理者代表"/>
            <w:r>
              <w:t>董鹏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center"/>
              <w:rPr>
                <w:rFonts w:hint="eastAsia"/>
                <w:b/>
                <w:sz w:val="20"/>
                <w:szCs w:val="22"/>
              </w:rPr>
            </w:pPr>
            <w:r>
              <w:rPr>
                <w:rFonts w:hint="eastAsia"/>
                <w:b/>
                <w:sz w:val="20"/>
                <w:szCs w:val="22"/>
              </w:rPr>
              <w:t>产品生产过程：锻坯检验→机加工→去毛刺→刷油→标识→成品检验→包装→入库→交付。</w:t>
            </w:r>
          </w:p>
          <w:p>
            <w:r>
              <w:rPr>
                <w:rFonts w:hint="eastAsia"/>
                <w:b/>
                <w:sz w:val="20"/>
                <w:szCs w:val="22"/>
              </w:rPr>
              <w:t xml:space="preserve">     销售过程：合同签订→采购→检验→入库→交付。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2022年08月23日 上午至2022年08月25日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Q：许可范围内的锻制法兰、管件的加工销售，防腐保温耐磨管件、管道支吊架、电厂配件、焊接结构件、钢材、钢管、阀门、五金配件的销售；</w:t>
            </w:r>
          </w:p>
          <w:p>
            <w:r>
              <w:t>E：许可范围内的锻制法兰、管件的加工销售，防腐保温耐磨管件、管道支吊架、电厂配件、焊接结构件、钢材、钢管、阀门、五金配件的销售及其所涉及场所相关的环境管理活动；</w:t>
            </w:r>
          </w:p>
          <w:p>
            <w:r>
              <w:t>O：许可范围内的锻制法兰、管件的加工销售，防腐保温耐磨管件、管道支吊架、电厂配件、焊接结构件、钢材、钢管、阀门、五金配件的销售及其所涉及场所相关的职业健康安全管理活动；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Q：17.02.00;29.12.00</w:t>
            </w:r>
          </w:p>
          <w:p>
            <w:r>
              <w:t>E：17.02.00;29.12.00</w:t>
            </w:r>
          </w:p>
          <w:p>
            <w:r>
              <w:t>O：17.02.00;29.12.00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盐山县鹏润管件制造有限公司</w:t>
            </w:r>
            <w:r>
              <w:rPr>
                <w:rFonts w:hint="eastAsia"/>
                <w:sz w:val="21"/>
                <w:szCs w:val="21"/>
                <w:lang w:val="en-US" w:eastAsia="zh-CN"/>
              </w:rPr>
              <w:t>/</w:t>
            </w:r>
            <w:r>
              <w:rPr>
                <w:rFonts w:asciiTheme="minorEastAsia" w:hAnsiTheme="minorEastAsia" w:eastAsiaTheme="minorEastAsia"/>
                <w:sz w:val="20"/>
              </w:rPr>
              <w:t>盐山县五里窑工业区</w:t>
            </w:r>
          </w:p>
        </w:tc>
        <w:tc>
          <w:tcPr>
            <w:tcW w:w="2267" w:type="dxa"/>
          </w:tcPr>
          <w:p>
            <w:pPr>
              <w:rPr>
                <w:lang w:val="de-DE" w:eastAsia="ja-JP"/>
              </w:rPr>
            </w:pPr>
            <w:r>
              <w:rPr>
                <w:rFonts w:asciiTheme="minorEastAsia" w:hAnsiTheme="minorEastAsia" w:eastAsiaTheme="minorEastAsia"/>
                <w:sz w:val="20"/>
              </w:rPr>
              <w:t>盐山县五里窑工业区（沧盐路刘红庙路段）</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Q：许可范围内的锻制法兰、管件的加工销售，防腐保温耐磨管件、管道支吊架、电厂配件、焊接结构件、钢材、钢管、阀门、五金配件的销售；</w:t>
            </w:r>
          </w:p>
          <w:p>
            <w:pPr>
              <w:widowControl/>
              <w:jc w:val="left"/>
              <w:rPr>
                <w:rFonts w:ascii="宋体" w:hAnsi="宋体" w:cs="宋体"/>
                <w:color w:val="000000"/>
                <w:kern w:val="0"/>
                <w:szCs w:val="21"/>
              </w:rPr>
            </w:pPr>
            <w:r>
              <w:rPr>
                <w:rFonts w:ascii="宋体" w:hAnsi="宋体" w:cs="宋体"/>
                <w:color w:val="000000"/>
                <w:kern w:val="0"/>
                <w:szCs w:val="21"/>
              </w:rPr>
              <w:t>E：许可范围内的锻制法兰、管件的加工销售，防腐保温耐磨管件、管道支吊架、电厂配件、焊接结构件、钢材、钢管、阀门、五金配件的销售及其所涉及场所相关的环境管理活动；</w:t>
            </w:r>
          </w:p>
          <w:p>
            <w:pPr>
              <w:rPr>
                <w:lang w:eastAsia="ja-JP"/>
              </w:rPr>
            </w:pPr>
            <w:r>
              <w:rPr>
                <w:rFonts w:ascii="宋体" w:hAnsi="宋体" w:cs="宋体"/>
                <w:color w:val="000000"/>
                <w:kern w:val="0"/>
                <w:szCs w:val="21"/>
              </w:rPr>
              <w:t>O：许可范围内的锻制法兰、管件的加工销售，防腐保温耐磨管件、管道支吊架、电厂配件、焊接结构件、钢材、钢管、阀门、五金配件的销售及其所涉及场所相关的职业健康安全管理活动；</w:t>
            </w:r>
          </w:p>
        </w:tc>
        <w:tc>
          <w:tcPr>
            <w:tcW w:w="669" w:type="dxa"/>
            <w:vAlign w:val="center"/>
          </w:tcPr>
          <w:p>
            <w:pPr>
              <w:rPr>
                <w:lang w:eastAsia="ja-JP"/>
              </w:rPr>
            </w:pPr>
            <w:bookmarkStart w:id="31" w:name="审核依据"/>
            <w:r>
              <w:rPr>
                <w:rFonts w:ascii="宋体" w:hAnsi="宋体" w:cs="宋体"/>
                <w:color w:val="000000"/>
                <w:kern w:val="0"/>
                <w:szCs w:val="21"/>
              </w:rPr>
              <w:t>Q：GB/T19001-2016/ISO9001:2015,E：GB/T 24001-2016/ISO14001:2015,O：GB/T45001-2020 / ISO45001：2018</w:t>
            </w:r>
            <w:bookmarkEnd w:id="31"/>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田玉发</w:t>
            </w:r>
          </w:p>
        </w:tc>
        <w:tc>
          <w:tcPr>
            <w:tcW w:w="1089" w:type="dxa"/>
            <w:vAlign w:val="center"/>
          </w:tcPr>
          <w:p>
            <w:r>
              <w:t>组员</w:t>
            </w:r>
          </w:p>
        </w:tc>
        <w:tc>
          <w:tcPr>
            <w:tcW w:w="711" w:type="dxa"/>
            <w:vAlign w:val="center"/>
          </w:tcPr>
          <w:p>
            <w:r>
              <w:t>男</w:t>
            </w:r>
          </w:p>
        </w:tc>
        <w:tc>
          <w:tcPr>
            <w:tcW w:w="3870" w:type="dxa"/>
            <w:vAlign w:val="center"/>
          </w:tcPr>
          <w:p>
            <w:r>
              <w:t>ISC-JSZJ-169</w:t>
            </w:r>
          </w:p>
          <w:p>
            <w:r>
              <w:t>ISC-JSZJ-169</w:t>
            </w:r>
          </w:p>
          <w:p>
            <w:r>
              <w:t>ISC-JSZJ-169</w:t>
            </w:r>
          </w:p>
          <w:p>
            <w:r>
              <w:t>孟村县工业信息化局（退休）</w:t>
            </w:r>
          </w:p>
        </w:tc>
        <w:tc>
          <w:tcPr>
            <w:tcW w:w="2179" w:type="dxa"/>
            <w:vAlign w:val="center"/>
          </w:tcPr>
          <w:p>
            <w:r>
              <w:t>Q:17.02.00</w:t>
            </w:r>
          </w:p>
          <w:p>
            <w:r>
              <w:t>E:17.02.00</w:t>
            </w:r>
          </w:p>
          <w:p>
            <w:r>
              <w:t>O:17.02.00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sz w:val="20"/>
                <w:lang w:val="de-DE"/>
              </w:rPr>
              <w:t>田玉发</w:t>
            </w:r>
          </w:p>
        </w:tc>
        <w:tc>
          <w:tcPr>
            <w:tcW w:w="1089" w:type="dxa"/>
            <w:vAlign w:val="center"/>
          </w:tcPr>
          <w:p>
            <w:r>
              <w:rPr>
                <w:rFonts w:hint="eastAsia"/>
                <w:sz w:val="20"/>
                <w:szCs w:val="22"/>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孟村县工业信息化局（退休）</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653415</wp:posOffset>
                  </wp:positionH>
                  <wp:positionV relativeFrom="paragraph">
                    <wp:posOffset>-251460</wp:posOffset>
                  </wp:positionV>
                  <wp:extent cx="250190" cy="927100"/>
                  <wp:effectExtent l="0" t="0" r="0" b="3810"/>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250190" cy="9271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rPr>
      </w:pPr>
      <w:r>
        <w:rPr>
          <w:shd w:val="clear" w:color="FFFFFF" w:fill="D9D9D9"/>
        </w:rPr>
        <w:t>附件ISO 9001:2015 (若不是ISO 9001:2015审核请删除)</w:t>
      </w:r>
    </w:p>
    <w:tbl>
      <w:tblPr>
        <w:tblStyle w:val="9"/>
        <w:tblW w:w="10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83"/>
        <w:gridCol w:w="9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A3"/>
                  </w:r>
                  <w:r>
                    <w:rPr>
                      <w:rFonts w:hint="eastAsia"/>
                    </w:rPr>
                    <w:t>文化</w:t>
                  </w:r>
                  <w:r>
                    <w:rPr>
                      <w:rFonts w:hint="eastAsia"/>
                    </w:rPr>
                    <w:sym w:font="Wingdings 2" w:char="00A3"/>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A3"/>
                  </w:r>
                  <w:r>
                    <w:rPr>
                      <w:rFonts w:hint="eastAsia"/>
                    </w:rPr>
                    <w:t>文化</w:t>
                  </w:r>
                  <w:r>
                    <w:rPr>
                      <w:rFonts w:hint="eastAsia"/>
                    </w:rPr>
                    <w:sym w:font="Wingdings 2" w:char="00A3"/>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rPr>
                <w:rFonts w:hint="eastAsia" w:ascii="宋体"/>
                <w:b/>
                <w:sz w:val="24"/>
              </w:rPr>
            </w:pPr>
            <w:r>
              <w:rPr>
                <w:rFonts w:hint="eastAsia" w:ascii="宋体"/>
                <w:b/>
                <w:sz w:val="24"/>
              </w:rPr>
              <w:t>坚持标准，持续改进，争创一流，顾客满意。</w:t>
            </w:r>
          </w:p>
          <w:p>
            <w:pPr>
              <w:shd w:val="clear" w:color="auto" w:fill="C7DAF1" w:themeFill="text2" w:themeFillTint="32"/>
              <w:rPr>
                <w:rFonts w:hint="eastAsia" w:ascii="宋体" w:hAnsi="宋体"/>
                <w:b/>
                <w:sz w:val="24"/>
              </w:rPr>
            </w:pPr>
            <w:r>
              <w:rPr>
                <w:rFonts w:hint="eastAsia" w:ascii="宋体" w:hAnsi="宋体"/>
                <w:b/>
                <w:sz w:val="24"/>
              </w:rPr>
              <w:t xml:space="preserve"> 安全第一，预防为主；遵规守法，减污降耗；持续发展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合同风险</w:t>
                  </w:r>
                </w:p>
              </w:tc>
              <w:tc>
                <w:tcPr>
                  <w:tcW w:w="3965" w:type="dxa"/>
                </w:tcPr>
                <w:p>
                  <w:pPr>
                    <w:shd w:val="clear" w:color="auto" w:fill="C7DAF1" w:themeFill="text2" w:themeFillTint="32"/>
                  </w:pPr>
                  <w:r>
                    <w:rPr>
                      <w:rFonts w:hint="eastAsia"/>
                    </w:rPr>
                    <w:t>加强内部合同管理，注重合同谈判。</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信息消费需求旺盛</w:t>
                  </w:r>
                </w:p>
              </w:tc>
              <w:tc>
                <w:tcPr>
                  <w:tcW w:w="3965" w:type="dxa"/>
                </w:tcPr>
                <w:p>
                  <w:pPr>
                    <w:shd w:val="clear" w:color="auto" w:fill="C7DAF1" w:themeFill="text2" w:themeFillTint="32"/>
                    <w:rPr>
                      <w:rFonts w:hint="eastAsia"/>
                    </w:rPr>
                  </w:pPr>
                  <w:r>
                    <w:rPr>
                      <w:rFonts w:hint="eastAsia"/>
                    </w:rPr>
                    <w:t>1、抓住行业机会，争取开发更多更好的技术，在多个领域上开拓业务，挖掘潜在信息消费需求。</w:t>
                  </w:r>
                </w:p>
                <w:p>
                  <w:pPr>
                    <w:shd w:val="clear" w:color="auto" w:fill="C7DAF1" w:themeFill="text2" w:themeFillTint="32"/>
                    <w:rPr>
                      <w:rFonts w:hint="eastAsia"/>
                    </w:rPr>
                  </w:pPr>
                  <w:r>
                    <w:rPr>
                      <w:rFonts w:hint="eastAsia"/>
                    </w:rPr>
                    <w:t>2、从业主需求出发，抓住行业消费需求。</w:t>
                  </w:r>
                </w:p>
                <w:p>
                  <w:pPr>
                    <w:shd w:val="clear" w:color="auto" w:fill="C7DAF1" w:themeFill="text2" w:themeFillTint="32"/>
                    <w:rPr>
                      <w:rFonts w:hint="eastAsia"/>
                    </w:rPr>
                  </w:pPr>
                  <w:r>
                    <w:rPr>
                      <w:rFonts w:hint="eastAsia"/>
                    </w:rPr>
                    <w:t>3、利用好政府提供的行业优惠政策，加快技术革新与开发。</w:t>
                  </w:r>
                </w:p>
                <w:p>
                  <w:pPr>
                    <w:shd w:val="clear" w:color="auto" w:fill="C7DAF1" w:themeFill="text2" w:themeFillTint="32"/>
                  </w:pPr>
                  <w:r>
                    <w:rPr>
                      <w:rFonts w:hint="eastAsia"/>
                    </w:rPr>
                    <w:t>4、提高员工技术培训力度，更好的适应信息化建设的大环境。</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hint="eastAsia" w:ascii="Times New Roman" w:hAnsi="Times New Roman" w:eastAsia="宋体" w:cs="Times New Roman"/>
                      <w:lang w:val="en-GB" w:eastAsia="zh-CN"/>
                    </w:rPr>
                  </w:pPr>
                  <w:r>
                    <w:rPr>
                      <w:rFonts w:hint="eastAsia" w:ascii="宋体" w:hAnsi="宋体" w:cs="宋体"/>
                      <w:sz w:val="24"/>
                      <w:lang w:bidi="ar"/>
                    </w:rPr>
                    <w:t>产品合格数/应检验数</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lang w:val="en-US" w:eastAsia="zh-CN"/>
                    </w:rPr>
                    <w:t>生产技术部</w:t>
                  </w:r>
                </w:p>
              </w:tc>
              <w:tc>
                <w:tcPr>
                  <w:tcW w:w="1774" w:type="dxa"/>
                  <w:shd w:val="clear" w:color="auto" w:fill="auto"/>
                  <w:vAlign w:val="top"/>
                </w:tcPr>
                <w:p>
                  <w:pPr>
                    <w:widowControl/>
                    <w:spacing w:before="40"/>
                    <w:jc w:val="left"/>
                    <w:rPr>
                      <w:rFonts w:hint="default" w:ascii="Times New Roman" w:hAnsi="Times New Roman" w:eastAsia="宋体" w:cs="Times New Roman"/>
                      <w:lang w:val="en-GB" w:eastAsia="zh-CN"/>
                    </w:rPr>
                  </w:pPr>
                  <w:r>
                    <w:rPr>
                      <w:rFonts w:hint="eastAsia" w:ascii="宋体" w:hAnsi="宋体"/>
                      <w:szCs w:val="21"/>
                      <w:lang w:val="en-US" w:eastAsia="zh-CN"/>
                    </w:rPr>
                    <w:t>98.6</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szCs w:val="21"/>
                    </w:rPr>
                    <w:t>2.顾客满意率≥9</w:t>
                  </w:r>
                  <w:r>
                    <w:rPr>
                      <w:rFonts w:hint="eastAsia" w:ascii="宋体" w:hAnsi="宋体"/>
                      <w:color w:val="auto"/>
                      <w:szCs w:val="21"/>
                      <w:lang w:val="en-US" w:eastAsia="zh-CN"/>
                    </w:rPr>
                    <w:t>0</w:t>
                  </w:r>
                  <w:r>
                    <w:rPr>
                      <w:rFonts w:hint="eastAsia" w:ascii="宋体" w:hAnsi="宋体"/>
                      <w:color w:val="auto"/>
                      <w:szCs w:val="21"/>
                    </w:rPr>
                    <w:t>%</w:t>
                  </w:r>
                </w:p>
              </w:tc>
              <w:tc>
                <w:tcPr>
                  <w:tcW w:w="3136" w:type="dxa"/>
                  <w:shd w:val="clear" w:color="auto" w:fill="auto"/>
                  <w:vAlign w:val="top"/>
                </w:tcPr>
                <w:p>
                  <w:pPr>
                    <w:widowControl/>
                    <w:spacing w:before="40"/>
                    <w:jc w:val="left"/>
                    <w:rPr>
                      <w:rFonts w:hint="eastAsia" w:ascii="Times New Roman" w:hAnsi="Times New Roman" w:eastAsia="宋体" w:cs="Times New Roman"/>
                      <w:lang w:val="en-US" w:eastAsia="zh-CN"/>
                    </w:rPr>
                  </w:pPr>
                  <w:r>
                    <w:rPr>
                      <w:rFonts w:hint="eastAsia" w:ascii="宋体" w:hAnsi="宋体" w:cs="宋体"/>
                      <w:sz w:val="24"/>
                      <w:lang w:bidi="ar"/>
                    </w:rPr>
                    <w:t>满意度实得分/应得分</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lang w:val="en-US" w:eastAsia="zh-CN"/>
                    </w:rPr>
                    <w:t>供销部</w:t>
                  </w:r>
                </w:p>
              </w:tc>
              <w:tc>
                <w:tcPr>
                  <w:tcW w:w="1774" w:type="dxa"/>
                  <w:shd w:val="clear" w:color="auto" w:fill="auto"/>
                  <w:vAlign w:val="top"/>
                </w:tcPr>
                <w:p>
                  <w:pPr>
                    <w:widowControl/>
                    <w:spacing w:before="40"/>
                    <w:jc w:val="left"/>
                    <w:rPr>
                      <w:rFonts w:hint="default" w:ascii="Times New Roman" w:hAnsi="Times New Roman" w:eastAsia="宋体" w:cs="Times New Roman"/>
                      <w:lang w:val="en-US" w:eastAsia="zh-CN"/>
                    </w:rPr>
                  </w:pPr>
                  <w:r>
                    <w:rPr>
                      <w:rFonts w:hint="eastAsia" w:ascii="宋体" w:hAnsi="宋体"/>
                      <w:szCs w:val="21"/>
                    </w:rPr>
                    <w:t>9</w:t>
                  </w:r>
                  <w:r>
                    <w:rPr>
                      <w:rFonts w:hint="eastAsia" w:ascii="宋体" w:hAnsi="宋体"/>
                      <w:szCs w:val="21"/>
                      <w:lang w:val="en-US" w:eastAsia="zh-CN"/>
                    </w:rPr>
                    <w:t>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exact"/>
                  </w:pPr>
                  <w:r>
                    <w:rPr>
                      <w:rFonts w:hint="eastAsia" w:ascii="宋体" w:hAnsi="宋体"/>
                      <w:color w:val="auto"/>
                      <w:szCs w:val="21"/>
                      <w:lang w:val="en-US" w:eastAsia="zh-CN"/>
                    </w:rPr>
                    <w:t>3.</w:t>
                  </w:r>
                  <w:r>
                    <w:rPr>
                      <w:rFonts w:hint="eastAsia" w:ascii="宋体" w:hAnsi="宋体"/>
                      <w:color w:val="auto"/>
                      <w:szCs w:val="21"/>
                    </w:rPr>
                    <w:t>产品出厂合格率100％；</w:t>
                  </w:r>
                </w:p>
              </w:tc>
              <w:tc>
                <w:tcPr>
                  <w:tcW w:w="3136" w:type="dxa"/>
                  <w:shd w:val="clear" w:color="auto" w:fill="auto"/>
                  <w:vAlign w:val="center"/>
                </w:tcPr>
                <w:p>
                  <w:pPr>
                    <w:spacing w:line="300" w:lineRule="exact"/>
                    <w:rPr>
                      <w:rFonts w:ascii="宋体" w:hAnsi="宋体"/>
                    </w:rPr>
                  </w:pPr>
                  <w:r>
                    <w:rPr>
                      <w:rFonts w:hint="eastAsia" w:ascii="宋体" w:hAnsi="宋体"/>
                      <w:color w:val="auto"/>
                      <w:szCs w:val="21"/>
                      <w:lang w:val="en-US" w:eastAsia="zh-CN"/>
                    </w:rPr>
                    <w:t>出厂合格数/出厂数量</w:t>
                  </w:r>
                </w:p>
              </w:tc>
              <w:tc>
                <w:tcPr>
                  <w:tcW w:w="1350" w:type="dxa"/>
                  <w:shd w:val="clear" w:color="auto" w:fill="auto"/>
                  <w:vAlign w:val="center"/>
                </w:tcPr>
                <w:p>
                  <w:pPr>
                    <w:spacing w:line="300" w:lineRule="exact"/>
                    <w:rPr>
                      <w:rFonts w:ascii="宋体" w:hAnsi="宋体"/>
                    </w:rPr>
                  </w:pPr>
                  <w:r>
                    <w:rPr>
                      <w:rFonts w:hint="eastAsia" w:ascii="宋体" w:hAnsi="宋体"/>
                      <w:color w:val="auto"/>
                      <w:szCs w:val="21"/>
                      <w:lang w:val="en-US" w:eastAsia="zh-CN"/>
                    </w:rPr>
                    <w:t>质检部</w:t>
                  </w:r>
                </w:p>
              </w:tc>
              <w:tc>
                <w:tcPr>
                  <w:tcW w:w="1774" w:type="dxa"/>
                  <w:shd w:val="clear" w:color="auto" w:fill="auto"/>
                  <w:vAlign w:val="center"/>
                </w:tcPr>
                <w:p>
                  <w:pPr>
                    <w:spacing w:line="300" w:lineRule="exact"/>
                    <w:rPr>
                      <w:rFonts w:ascii="宋体" w:hAnsi="宋体"/>
                    </w:rPr>
                  </w:pPr>
                  <w:r>
                    <w:rPr>
                      <w:rFonts w:hint="eastAsia" w:ascii="宋体" w:hAns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ascii="宋体" w:hAnsi="宋体"/>
                <w:szCs w:val="21"/>
                <w:u w:val="single"/>
              </w:rPr>
              <w:t>车床、锯床、钻床、电脑、打印机、网络、电话等设施设备，</w:t>
            </w:r>
            <w:r>
              <w:rPr>
                <w:rFonts w:hint="eastAsia" w:ascii="宋体" w:hAnsi="宋体"/>
                <w:szCs w:val="21"/>
                <w:u w:val="single"/>
                <w:lang w:val="en-US" w:eastAsia="zh-CN"/>
              </w:rPr>
              <w:t>2.8T行车</w:t>
            </w:r>
            <w:r>
              <w:rPr>
                <w:rFonts w:hint="eastAsia" w:ascii="宋体" w:hAnsi="宋体"/>
                <w:szCs w:val="21"/>
                <w:u w:val="single"/>
              </w:rPr>
              <w:t>。</w:t>
            </w:r>
            <w:r>
              <w:rPr>
                <w:rFonts w:hint="eastAsia" w:ascii="宋体" w:hAnsi="宋体"/>
                <w:b/>
                <w:color w:val="000000" w:themeColor="text1"/>
                <w:sz w:val="20"/>
                <w:u w:val="single"/>
              </w:rPr>
              <w:t xml:space="preserve"> </w:t>
            </w:r>
            <w:r>
              <w:rPr>
                <w:rFonts w:hint="eastAsia"/>
                <w:u w:val="single"/>
              </w:rPr>
              <w:t>）</w:t>
            </w:r>
          </w:p>
          <w:p>
            <w:pPr>
              <w:shd w:val="clear" w:color="auto" w:fill="C7DAF1" w:themeFill="text2" w:themeFillTint="32"/>
            </w:pPr>
            <w:r>
              <w:rPr>
                <w:rFonts w:hint="eastAsia"/>
              </w:rPr>
              <w:t>特种设备：</w:t>
            </w:r>
            <w:r>
              <w:rPr>
                <w:rFonts w:hint="eastAsia" w:ascii="Wingdings" w:hAnsi="Wingdings"/>
              </w:rPr>
              <w:sym w:font="Wingdings 2" w:char="00A3"/>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A3"/>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ascii="方正仿宋简体" w:eastAsia="方正仿宋简体"/>
                <w:b/>
                <w:lang w:val="en-US" w:eastAsia="zh-CN"/>
              </w:rPr>
              <w:t>盒尺、游标卡尺、里氏硬度计</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A3"/>
            </w:r>
            <w:r>
              <w:rPr>
                <w:rFonts w:hint="eastAsia"/>
              </w:rPr>
              <w:t>进行了定期校准/检定</w:t>
            </w:r>
            <w:r>
              <w:rPr>
                <w:rFonts w:hint="eastAsia" w:ascii="Wingdings" w:hAnsi="Wingdings"/>
              </w:rPr>
              <w:sym w:font="Wingdings 2" w:char="0052"/>
            </w:r>
            <w:r>
              <w:rPr>
                <w:rFonts w:hint="eastAsia"/>
              </w:rPr>
              <w:t>未进行定期校准/检定的有：</w:t>
            </w:r>
            <w:r>
              <w:rPr>
                <w:rFonts w:hint="eastAsia" w:ascii="方正仿宋简体" w:eastAsia="方正仿宋简体"/>
                <w:b/>
                <w:lang w:val="en-US" w:eastAsia="zh-CN"/>
              </w:rPr>
              <w:t>盒尺、游标卡尺、里氏硬度计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 xml:space="preserve">加工工艺 </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 xml:space="preserve">产品标准 </w:t>
            </w:r>
            <w:r>
              <w:rPr>
                <w:rFonts w:hint="eastAsia" w:ascii="Wingdings" w:hAnsi="Wingdings"/>
              </w:rPr>
              <w:sym w:font="Wingdings 2" w:char="0052"/>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A3"/>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A3"/>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A3"/>
            </w:r>
            <w:r>
              <w:rPr>
                <w:rFonts w:hint="eastAsia"/>
              </w:rPr>
              <w:t>网站</w:t>
            </w:r>
            <w:r>
              <w:rPr>
                <w:rFonts w:hint="eastAsia" w:ascii="Wingdings" w:hAnsi="Wingdings"/>
              </w:rPr>
              <w:sym w:font="Wingdings 2" w:char="00A3"/>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许可范围内的锻制法兰、管件的加工销售</w:t>
                  </w:r>
                </w:p>
              </w:tc>
              <w:tc>
                <w:tcPr>
                  <w:tcW w:w="3665" w:type="dxa"/>
                </w:tcPr>
                <w:p>
                  <w:pPr>
                    <w:shd w:val="clear" w:color="auto" w:fill="C7DAF1" w:themeFill="text2" w:themeFillTint="32"/>
                    <w:jc w:val="left"/>
                    <w:rPr>
                      <w:rFonts w:hint="eastAsia" w:eastAsia="宋体"/>
                      <w:lang w:val="en-US" w:eastAsia="zh-CN"/>
                    </w:rPr>
                  </w:pPr>
                  <w:r>
                    <w:rPr>
                      <w:rFonts w:hint="eastAsia"/>
                      <w:b/>
                      <w:sz w:val="20"/>
                      <w:szCs w:val="22"/>
                    </w:rPr>
                    <w:t>机加工</w:t>
                  </w:r>
                </w:p>
              </w:tc>
              <w:tc>
                <w:tcPr>
                  <w:tcW w:w="3265" w:type="dxa"/>
                </w:tcPr>
                <w:p>
                  <w:pPr>
                    <w:shd w:val="clear" w:color="auto" w:fill="C7DAF1" w:themeFill="text2" w:themeFillTint="32"/>
                    <w:jc w:val="left"/>
                  </w:pPr>
                  <w:r>
                    <w:rPr>
                      <w:rFonts w:hint="eastAsia"/>
                      <w:color w:val="000000"/>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cs="Times New Roman"/>
                <w:b/>
                <w:sz w:val="20"/>
                <w:lang w:val="en-US" w:eastAsia="zh-CN"/>
              </w:rPr>
              <w:t>销售</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27-28</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30</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669"/>
        <w:gridCol w:w="671"/>
        <w:gridCol w:w="671"/>
        <w:gridCol w:w="670"/>
        <w:gridCol w:w="671"/>
        <w:gridCol w:w="671"/>
        <w:gridCol w:w="670"/>
        <w:gridCol w:w="671"/>
        <w:gridCol w:w="671"/>
        <w:gridCol w:w="670"/>
        <w:gridCol w:w="67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4.1</w:t>
            </w:r>
          </w:p>
        </w:tc>
        <w:tc>
          <w:tcPr>
            <w:tcW w:w="664" w:type="dxa"/>
            <w:vAlign w:val="center"/>
          </w:tcPr>
          <w:p>
            <w:pPr>
              <w:shd w:val="clear" w:color="auto" w:fill="C7DAF1" w:themeFill="text2" w:themeFillTint="32"/>
              <w:rPr>
                <w:lang w:eastAsia="ja-JP"/>
              </w:rPr>
            </w:pPr>
            <w:r>
              <w:rPr>
                <w:rFonts w:hint="eastAsia"/>
              </w:rPr>
              <w:t>4.2</w:t>
            </w:r>
          </w:p>
        </w:tc>
        <w:tc>
          <w:tcPr>
            <w:tcW w:w="664" w:type="dxa"/>
            <w:vAlign w:val="center"/>
          </w:tcPr>
          <w:p>
            <w:pPr>
              <w:shd w:val="clear" w:color="auto" w:fill="C7DAF1" w:themeFill="text2" w:themeFillTint="32"/>
              <w:rPr>
                <w:lang w:eastAsia="ja-JP"/>
              </w:rPr>
            </w:pPr>
            <w:r>
              <w:rPr>
                <w:rFonts w:hint="eastAsia"/>
              </w:rPr>
              <w:t>4.3</w:t>
            </w:r>
          </w:p>
        </w:tc>
        <w:tc>
          <w:tcPr>
            <w:tcW w:w="663" w:type="dxa"/>
            <w:vAlign w:val="center"/>
          </w:tcPr>
          <w:p>
            <w:pPr>
              <w:shd w:val="clear" w:color="auto" w:fill="C7DAF1" w:themeFill="text2" w:themeFillTint="32"/>
              <w:rPr>
                <w:lang w:eastAsia="ja-JP"/>
              </w:rPr>
            </w:pPr>
            <w:r>
              <w:rPr>
                <w:rFonts w:hint="eastAsia"/>
              </w:rPr>
              <w:t>4.4</w:t>
            </w:r>
          </w:p>
        </w:tc>
        <w:tc>
          <w:tcPr>
            <w:tcW w:w="664" w:type="dxa"/>
            <w:vAlign w:val="center"/>
          </w:tcPr>
          <w:p>
            <w:pPr>
              <w:shd w:val="clear" w:color="auto" w:fill="C7DAF1" w:themeFill="text2" w:themeFillTint="32"/>
              <w:rPr>
                <w:lang w:eastAsia="ja-JP"/>
              </w:rPr>
            </w:pPr>
            <w:r>
              <w:rPr>
                <w:rFonts w:hint="eastAsia"/>
              </w:rPr>
              <w:t>5.1</w:t>
            </w:r>
          </w:p>
        </w:tc>
        <w:tc>
          <w:tcPr>
            <w:tcW w:w="664" w:type="dxa"/>
            <w:vAlign w:val="center"/>
          </w:tcPr>
          <w:p>
            <w:pPr>
              <w:shd w:val="clear" w:color="auto" w:fill="C7DAF1" w:themeFill="text2" w:themeFillTint="32"/>
              <w:rPr>
                <w:lang w:eastAsia="ja-JP"/>
              </w:rPr>
            </w:pPr>
            <w:r>
              <w:rPr>
                <w:rFonts w:hint="eastAsia"/>
              </w:rPr>
              <w:t>5.2</w:t>
            </w:r>
          </w:p>
        </w:tc>
        <w:tc>
          <w:tcPr>
            <w:tcW w:w="663" w:type="dxa"/>
            <w:vAlign w:val="center"/>
          </w:tcPr>
          <w:p>
            <w:pPr>
              <w:shd w:val="clear" w:color="auto" w:fill="C7DAF1" w:themeFill="text2" w:themeFillTint="32"/>
              <w:rPr>
                <w:lang w:eastAsia="ja-JP"/>
              </w:rPr>
            </w:pPr>
            <w:r>
              <w:rPr>
                <w:rFonts w:hint="eastAsia"/>
              </w:rPr>
              <w:t>5.3</w:t>
            </w:r>
          </w:p>
        </w:tc>
        <w:tc>
          <w:tcPr>
            <w:tcW w:w="664" w:type="dxa"/>
            <w:vAlign w:val="center"/>
          </w:tcPr>
          <w:p>
            <w:pPr>
              <w:shd w:val="clear" w:color="auto" w:fill="C7DAF1" w:themeFill="text2" w:themeFillTint="32"/>
              <w:rPr>
                <w:lang w:eastAsia="ja-JP"/>
              </w:rPr>
            </w:pPr>
            <w:r>
              <w:rPr>
                <w:rFonts w:hint="eastAsia"/>
              </w:rPr>
              <w:t>6.1</w:t>
            </w:r>
          </w:p>
        </w:tc>
        <w:tc>
          <w:tcPr>
            <w:tcW w:w="664" w:type="dxa"/>
            <w:vAlign w:val="center"/>
          </w:tcPr>
          <w:p>
            <w:pPr>
              <w:shd w:val="clear" w:color="auto" w:fill="C7DAF1" w:themeFill="text2" w:themeFillTint="32"/>
              <w:rPr>
                <w:lang w:eastAsia="ja-JP"/>
              </w:rPr>
            </w:pPr>
            <w:r>
              <w:rPr>
                <w:rFonts w:hint="eastAsia"/>
              </w:rPr>
              <w:t>6.2</w:t>
            </w:r>
          </w:p>
        </w:tc>
        <w:tc>
          <w:tcPr>
            <w:tcW w:w="663" w:type="dxa"/>
            <w:vAlign w:val="center"/>
          </w:tcPr>
          <w:p>
            <w:pPr>
              <w:shd w:val="clear" w:color="auto" w:fill="C7DAF1" w:themeFill="text2" w:themeFillTint="32"/>
              <w:rPr>
                <w:lang w:eastAsia="ja-JP"/>
              </w:rPr>
            </w:pPr>
            <w:r>
              <w:rPr>
                <w:rFonts w:hint="eastAsia"/>
              </w:rPr>
              <w:t>6.3</w:t>
            </w:r>
          </w:p>
        </w:tc>
        <w:tc>
          <w:tcPr>
            <w:tcW w:w="664" w:type="dxa"/>
            <w:shd w:val="clear" w:color="auto" w:fill="BFBFBF"/>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shd w:val="clear" w:color="auto" w:fill="BFBFBF"/>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pPr>
            <w:r>
              <w:rPr>
                <w:rFonts w:hint="eastAsia"/>
              </w:rPr>
              <w:t>不符合数量</w:t>
            </w:r>
          </w:p>
        </w:tc>
        <w:tc>
          <w:tcPr>
            <w:tcW w:w="662"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shd w:val="clear" w:color="auto" w:fill="BFBFBF"/>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7.1</w:t>
            </w:r>
          </w:p>
        </w:tc>
        <w:tc>
          <w:tcPr>
            <w:tcW w:w="664" w:type="dxa"/>
            <w:vAlign w:val="center"/>
          </w:tcPr>
          <w:p>
            <w:pPr>
              <w:shd w:val="clear" w:color="auto" w:fill="C7DAF1" w:themeFill="text2" w:themeFillTint="32"/>
              <w:rPr>
                <w:lang w:eastAsia="ja-JP"/>
              </w:rPr>
            </w:pPr>
            <w:r>
              <w:rPr>
                <w:rFonts w:hint="eastAsia"/>
              </w:rPr>
              <w:t>7.2</w:t>
            </w:r>
          </w:p>
        </w:tc>
        <w:tc>
          <w:tcPr>
            <w:tcW w:w="664" w:type="dxa"/>
            <w:vAlign w:val="center"/>
          </w:tcPr>
          <w:p>
            <w:pPr>
              <w:shd w:val="clear" w:color="auto" w:fill="C7DAF1" w:themeFill="text2" w:themeFillTint="32"/>
              <w:rPr>
                <w:lang w:eastAsia="ja-JP"/>
              </w:rPr>
            </w:pPr>
            <w:r>
              <w:rPr>
                <w:rFonts w:hint="eastAsia"/>
              </w:rPr>
              <w:t>7.3</w:t>
            </w:r>
          </w:p>
        </w:tc>
        <w:tc>
          <w:tcPr>
            <w:tcW w:w="663" w:type="dxa"/>
            <w:vAlign w:val="center"/>
          </w:tcPr>
          <w:p>
            <w:pPr>
              <w:shd w:val="clear" w:color="auto" w:fill="C7DAF1" w:themeFill="text2" w:themeFillTint="32"/>
              <w:rPr>
                <w:lang w:eastAsia="ja-JP"/>
              </w:rPr>
            </w:pPr>
            <w:r>
              <w:rPr>
                <w:rFonts w:hint="eastAsia"/>
              </w:rPr>
              <w:t>7.4</w:t>
            </w:r>
          </w:p>
        </w:tc>
        <w:tc>
          <w:tcPr>
            <w:tcW w:w="664" w:type="dxa"/>
            <w:vAlign w:val="center"/>
          </w:tcPr>
          <w:p>
            <w:pPr>
              <w:shd w:val="clear" w:color="auto" w:fill="C7DAF1" w:themeFill="text2" w:themeFillTint="32"/>
              <w:rPr>
                <w:lang w:eastAsia="ja-JP"/>
              </w:rPr>
            </w:pPr>
            <w:r>
              <w:rPr>
                <w:rFonts w:hint="eastAsia"/>
              </w:rPr>
              <w:t>7.5</w:t>
            </w:r>
          </w:p>
        </w:tc>
        <w:tc>
          <w:tcPr>
            <w:tcW w:w="664" w:type="dxa"/>
            <w:vAlign w:val="center"/>
          </w:tcPr>
          <w:p>
            <w:pPr>
              <w:shd w:val="clear" w:color="auto" w:fill="C7DAF1" w:themeFill="text2" w:themeFillTint="32"/>
              <w:rPr>
                <w:lang w:eastAsia="ja-JP"/>
              </w:rPr>
            </w:pPr>
            <w:r>
              <w:rPr>
                <w:rFonts w:hint="eastAsia"/>
              </w:rPr>
              <w:t>8.1</w:t>
            </w:r>
          </w:p>
        </w:tc>
        <w:tc>
          <w:tcPr>
            <w:tcW w:w="663" w:type="dxa"/>
            <w:vAlign w:val="center"/>
          </w:tcPr>
          <w:p>
            <w:pPr>
              <w:shd w:val="clear" w:color="auto" w:fill="C7DAF1" w:themeFill="text2" w:themeFillTint="32"/>
              <w:rPr>
                <w:lang w:eastAsia="ja-JP"/>
              </w:rPr>
            </w:pPr>
            <w:r>
              <w:rPr>
                <w:rFonts w:hint="eastAsia"/>
              </w:rPr>
              <w:t>8.2</w:t>
            </w:r>
          </w:p>
        </w:tc>
        <w:tc>
          <w:tcPr>
            <w:tcW w:w="664" w:type="dxa"/>
            <w:vAlign w:val="center"/>
          </w:tcPr>
          <w:p>
            <w:pPr>
              <w:shd w:val="clear" w:color="auto" w:fill="C7DAF1" w:themeFill="text2" w:themeFillTint="32"/>
              <w:rPr>
                <w:lang w:eastAsia="ja-JP"/>
              </w:rPr>
            </w:pPr>
            <w:r>
              <w:rPr>
                <w:rFonts w:hint="eastAsia"/>
              </w:rPr>
              <w:t>8.3</w:t>
            </w:r>
          </w:p>
        </w:tc>
        <w:tc>
          <w:tcPr>
            <w:tcW w:w="664" w:type="dxa"/>
            <w:vAlign w:val="center"/>
          </w:tcPr>
          <w:p>
            <w:pPr>
              <w:shd w:val="clear" w:color="auto" w:fill="C7DAF1" w:themeFill="text2" w:themeFillTint="32"/>
              <w:rPr>
                <w:lang w:eastAsia="ja-JP"/>
              </w:rPr>
            </w:pPr>
            <w:r>
              <w:rPr>
                <w:rFonts w:hint="eastAsia"/>
              </w:rPr>
              <w:t>8.4</w:t>
            </w:r>
          </w:p>
        </w:tc>
        <w:tc>
          <w:tcPr>
            <w:tcW w:w="663" w:type="dxa"/>
            <w:vAlign w:val="center"/>
          </w:tcPr>
          <w:p>
            <w:pPr>
              <w:shd w:val="clear" w:color="auto" w:fill="C7DAF1" w:themeFill="text2" w:themeFillTint="32"/>
              <w:rPr>
                <w:lang w:eastAsia="ja-JP"/>
              </w:rPr>
            </w:pPr>
            <w:r>
              <w:rPr>
                <w:rFonts w:hint="eastAsia"/>
              </w:rPr>
              <w:t>8.5</w:t>
            </w:r>
          </w:p>
        </w:tc>
        <w:tc>
          <w:tcPr>
            <w:tcW w:w="664" w:type="dxa"/>
            <w:vAlign w:val="center"/>
          </w:tcPr>
          <w:p>
            <w:pPr>
              <w:shd w:val="clear" w:color="auto" w:fill="C7DAF1" w:themeFill="text2" w:themeFillTint="32"/>
              <w:rPr>
                <w:lang w:eastAsia="ja-JP"/>
              </w:rPr>
            </w:pPr>
            <w:r>
              <w:rPr>
                <w:rFonts w:hint="eastAsia"/>
              </w:rPr>
              <w:t>8.6</w:t>
            </w:r>
          </w:p>
        </w:tc>
        <w:tc>
          <w:tcPr>
            <w:tcW w:w="664"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64"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rPr>
              <w:t>不符合数量</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663"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9.1</w:t>
            </w:r>
          </w:p>
        </w:tc>
        <w:tc>
          <w:tcPr>
            <w:tcW w:w="664" w:type="dxa"/>
            <w:vAlign w:val="center"/>
          </w:tcPr>
          <w:p>
            <w:pPr>
              <w:shd w:val="clear" w:color="auto" w:fill="C7DAF1" w:themeFill="text2" w:themeFillTint="32"/>
              <w:rPr>
                <w:lang w:eastAsia="ja-JP"/>
              </w:rPr>
            </w:pPr>
            <w:r>
              <w:rPr>
                <w:rFonts w:hint="eastAsia"/>
              </w:rPr>
              <w:t>9.2</w:t>
            </w:r>
          </w:p>
        </w:tc>
        <w:tc>
          <w:tcPr>
            <w:tcW w:w="664" w:type="dxa"/>
            <w:vAlign w:val="center"/>
          </w:tcPr>
          <w:p>
            <w:pPr>
              <w:shd w:val="clear" w:color="auto" w:fill="C7DAF1" w:themeFill="text2" w:themeFillTint="32"/>
              <w:rPr>
                <w:lang w:eastAsia="ja-JP"/>
              </w:rPr>
            </w:pPr>
            <w:r>
              <w:rPr>
                <w:rFonts w:hint="eastAsia"/>
              </w:rPr>
              <w:t>9.3</w:t>
            </w:r>
          </w:p>
        </w:tc>
        <w:tc>
          <w:tcPr>
            <w:tcW w:w="663" w:type="dxa"/>
            <w:vAlign w:val="center"/>
          </w:tcPr>
          <w:p>
            <w:pPr>
              <w:shd w:val="clear" w:color="auto" w:fill="C7DAF1" w:themeFill="text2" w:themeFillTint="32"/>
              <w:rPr>
                <w:lang w:eastAsia="ja-JP"/>
              </w:rPr>
            </w:pPr>
            <w:r>
              <w:rPr>
                <w:rFonts w:hint="eastAsia"/>
              </w:rPr>
              <w:t>10.1</w:t>
            </w:r>
          </w:p>
        </w:tc>
        <w:tc>
          <w:tcPr>
            <w:tcW w:w="664" w:type="dxa"/>
            <w:vAlign w:val="center"/>
          </w:tcPr>
          <w:p>
            <w:pPr>
              <w:shd w:val="clear" w:color="auto" w:fill="C7DAF1" w:themeFill="text2" w:themeFillTint="32"/>
              <w:rPr>
                <w:lang w:eastAsia="ja-JP"/>
              </w:rPr>
            </w:pPr>
            <w:r>
              <w:rPr>
                <w:rFonts w:hint="eastAsia"/>
              </w:rPr>
              <w:t>10.2</w:t>
            </w:r>
          </w:p>
        </w:tc>
        <w:tc>
          <w:tcPr>
            <w:tcW w:w="664" w:type="dxa"/>
            <w:vAlign w:val="center"/>
          </w:tcPr>
          <w:p>
            <w:pPr>
              <w:shd w:val="clear" w:color="auto" w:fill="C7DAF1" w:themeFill="text2" w:themeFillTint="32"/>
              <w:rPr>
                <w:lang w:eastAsia="ja-JP"/>
              </w:rPr>
            </w:pPr>
            <w:r>
              <w:rPr>
                <w:rFonts w:hint="eastAsia"/>
              </w:rPr>
              <w:t>10.3</w:t>
            </w: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9" w:type="dxa"/>
            <w:vAlign w:val="center"/>
          </w:tcPr>
          <w:p>
            <w:pPr>
              <w:shd w:val="clear" w:color="auto" w:fill="C7DAF1" w:themeFill="text2" w:themeFillTint="32"/>
              <w:rPr>
                <w:lang w:eastAsia="ja-JP"/>
              </w:rPr>
            </w:pPr>
            <w:r>
              <w:rPr>
                <w:rFonts w:hint="eastAsia"/>
              </w:rPr>
              <w:t>不符合数量</w:t>
            </w:r>
          </w:p>
        </w:tc>
        <w:tc>
          <w:tcPr>
            <w:tcW w:w="662"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A3"/>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坚持标准，持续改进，争创一流，顾客满意。</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 安全第一，预防为主；遵规守法，减污降耗；持续发展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存在确定潜在的紧急情况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eastAsia="宋体"/>
                <w:lang w:eastAsia="zh-CN"/>
              </w:rPr>
            </w:pPr>
            <w:r>
              <w:rPr>
                <w:rFonts w:hint="eastAsia"/>
                <w:lang w:eastAsia="zh-CN"/>
              </w:rPr>
              <w:t>·</w:t>
            </w: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2017.9.12</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4"/>
                    </w:rPr>
                    <w:t>年度内重大环境事故为0；</w:t>
                  </w:r>
                </w:p>
              </w:tc>
              <w:tc>
                <w:tcPr>
                  <w:tcW w:w="3136" w:type="dxa"/>
                  <w:shd w:val="clear" w:color="auto" w:fill="auto"/>
                  <w:vAlign w:val="center"/>
                </w:tcPr>
                <w:p>
                  <w:pPr>
                    <w:numPr>
                      <w:ilvl w:val="0"/>
                      <w:numId w:val="2"/>
                    </w:numPr>
                    <w:ind w:firstLine="0" w:firstLineChars="0"/>
                    <w:jc w:val="both"/>
                    <w:rPr>
                      <w:rFonts w:hint="eastAsia"/>
                      <w:color w:val="auto"/>
                      <w:szCs w:val="22"/>
                      <w:lang w:val="en-US" w:eastAsia="zh-CN"/>
                    </w:rPr>
                  </w:pPr>
                  <w:r>
                    <w:rPr>
                      <w:rFonts w:hint="eastAsia"/>
                      <w:color w:val="auto"/>
                      <w:szCs w:val="22"/>
                      <w:lang w:val="en-US" w:eastAsia="zh-CN"/>
                    </w:rPr>
                    <w:t>公司设立员工专门吸烟场所，严禁生产车间和仓库明火</w:t>
                  </w:r>
                </w:p>
                <w:p>
                  <w:pPr>
                    <w:numPr>
                      <w:ilvl w:val="0"/>
                      <w:numId w:val="2"/>
                    </w:numPr>
                    <w:ind w:firstLine="0" w:firstLineChars="0"/>
                    <w:jc w:val="both"/>
                    <w:rPr>
                      <w:rFonts w:hint="eastAsia"/>
                      <w:color w:val="auto"/>
                      <w:szCs w:val="22"/>
                      <w:lang w:val="en-US" w:eastAsia="zh-CN"/>
                    </w:rPr>
                  </w:pPr>
                  <w:r>
                    <w:rPr>
                      <w:rFonts w:hint="eastAsia"/>
                      <w:color w:val="auto"/>
                      <w:szCs w:val="22"/>
                      <w:lang w:val="en-US" w:eastAsia="zh-CN"/>
                    </w:rPr>
                    <w:t>配备齐全的消防设施，定期检查</w:t>
                  </w:r>
                </w:p>
                <w:p>
                  <w:pPr>
                    <w:shd w:val="clear" w:color="auto" w:fill="EBF1DE" w:themeFill="accent3" w:themeFillTint="32"/>
                    <w:rPr>
                      <w:color w:val="auto"/>
                      <w:lang w:val="en-GB"/>
                    </w:rPr>
                  </w:pPr>
                  <w:r>
                    <w:rPr>
                      <w:rFonts w:hint="eastAsia"/>
                      <w:color w:val="auto"/>
                      <w:szCs w:val="22"/>
                      <w:lang w:val="en-US" w:eastAsia="zh-CN"/>
                    </w:rPr>
                    <w:t>3、定期应急演练</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ascii="宋体" w:hAnsi="宋体" w:eastAsia="宋体" w:cs="宋体"/>
                      <w:bCs/>
                      <w:color w:val="auto"/>
                      <w:sz w:val="21"/>
                      <w:szCs w:val="21"/>
                      <w:lang w:val="en-US" w:eastAsia="zh-CN"/>
                    </w:rPr>
                    <w:t>固体废弃物有效处置率≥95%</w:t>
                  </w:r>
                </w:p>
              </w:tc>
              <w:tc>
                <w:tcPr>
                  <w:tcW w:w="3136" w:type="dxa"/>
                  <w:shd w:val="clear" w:color="auto" w:fill="auto"/>
                  <w:vAlign w:val="center"/>
                </w:tcPr>
                <w:p>
                  <w:pPr>
                    <w:numPr>
                      <w:ilvl w:val="0"/>
                      <w:numId w:val="3"/>
                    </w:numPr>
                    <w:ind w:firstLine="0" w:firstLineChars="0"/>
                    <w:jc w:val="both"/>
                    <w:rPr>
                      <w:rFonts w:hint="eastAsia"/>
                      <w:color w:val="auto"/>
                      <w:lang w:val="en-US" w:eastAsia="zh-CN"/>
                    </w:rPr>
                  </w:pPr>
                  <w:r>
                    <w:rPr>
                      <w:rFonts w:hint="eastAsia"/>
                      <w:color w:val="auto"/>
                      <w:lang w:val="en-US" w:eastAsia="zh-CN"/>
                    </w:rPr>
                    <w:t>经一般固废暂存处暂存后外售</w:t>
                  </w:r>
                </w:p>
                <w:p>
                  <w:pPr>
                    <w:numPr>
                      <w:ilvl w:val="0"/>
                      <w:numId w:val="3"/>
                    </w:numPr>
                    <w:ind w:firstLine="0" w:firstLineChars="0"/>
                    <w:jc w:val="both"/>
                    <w:rPr>
                      <w:rFonts w:hint="eastAsia"/>
                      <w:color w:val="auto"/>
                      <w:szCs w:val="22"/>
                      <w:lang w:val="en-US" w:eastAsia="zh-CN"/>
                    </w:rPr>
                  </w:pPr>
                  <w:r>
                    <w:rPr>
                      <w:rFonts w:hint="eastAsia"/>
                      <w:color w:val="auto"/>
                      <w:szCs w:val="22"/>
                      <w:lang w:val="en-US" w:eastAsia="zh-CN"/>
                    </w:rPr>
                    <w:t>交由设备厂家回收</w:t>
                  </w:r>
                </w:p>
                <w:p>
                  <w:pPr>
                    <w:numPr>
                      <w:ilvl w:val="0"/>
                      <w:numId w:val="3"/>
                    </w:numPr>
                    <w:ind w:firstLine="0" w:firstLineChars="0"/>
                    <w:jc w:val="both"/>
                    <w:rPr>
                      <w:rFonts w:hint="eastAsia"/>
                      <w:color w:val="auto"/>
                      <w:szCs w:val="22"/>
                      <w:lang w:val="en-US" w:eastAsia="zh-CN"/>
                    </w:rPr>
                  </w:pPr>
                  <w:r>
                    <w:rPr>
                      <w:rFonts w:hint="eastAsia"/>
                      <w:color w:val="auto"/>
                      <w:szCs w:val="22"/>
                      <w:lang w:val="en-US" w:eastAsia="zh-CN"/>
                    </w:rPr>
                    <w:t>交由有资质单位处置</w:t>
                  </w:r>
                </w:p>
                <w:p>
                  <w:pPr>
                    <w:shd w:val="clear" w:color="auto" w:fill="EBF1DE" w:themeFill="accent3" w:themeFillTint="32"/>
                    <w:rPr>
                      <w:rFonts w:ascii="宋体" w:hAnsi="宋体"/>
                      <w:color w:val="auto"/>
                    </w:rPr>
                  </w:pPr>
                  <w:r>
                    <w:rPr>
                      <w:rFonts w:hint="eastAsia"/>
                      <w:color w:val="auto"/>
                      <w:szCs w:val="22"/>
                      <w:lang w:val="en-US" w:eastAsia="zh-CN"/>
                    </w:rPr>
                    <w:t>4、生活垃圾收集后运至垃圾中转处置</w:t>
                  </w:r>
                </w:p>
              </w:tc>
              <w:tc>
                <w:tcPr>
                  <w:tcW w:w="1350" w:type="dxa"/>
                  <w:shd w:val="clear" w:color="auto" w:fill="auto"/>
                  <w:vAlign w:val="center"/>
                </w:tcPr>
                <w:p>
                  <w:pPr>
                    <w:shd w:val="clear" w:color="auto" w:fill="EBF1DE" w:themeFill="accent3" w:themeFillTint="32"/>
                    <w:rPr>
                      <w:rFonts w:hint="eastAsia" w:ascii="宋体" w:hAnsi="宋体" w:eastAsia="宋体"/>
                      <w:color w:val="auto"/>
                      <w:lang w:val="en-US" w:eastAsia="zh-CN"/>
                    </w:rPr>
                  </w:pPr>
                  <w:r>
                    <w:rPr>
                      <w:rFonts w:hint="eastAsia" w:ascii="宋体" w:hAnsi="宋体"/>
                      <w:color w:val="auto"/>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lang w:val="en-US" w:eastAsia="zh-CN"/>
                    </w:rPr>
                  </w:pPr>
                  <w:r>
                    <w:rPr>
                      <w:rFonts w:hint="eastAsia" w:ascii="宋体" w:hAnsi="宋体"/>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ascii="宋体" w:hAnsi="宋体" w:eastAsia="宋体" w:cs="宋体"/>
                      <w:bCs/>
                      <w:color w:val="auto"/>
                      <w:sz w:val="21"/>
                      <w:szCs w:val="21"/>
                      <w:lang w:val="en-US" w:eastAsia="zh-CN"/>
                    </w:rPr>
                    <w:t>噪声、废水、废气达标吧排放</w:t>
                  </w:r>
                  <w:r>
                    <w:rPr>
                      <w:rFonts w:hint="eastAsia" w:ascii="宋体" w:hAnsi="宋体" w:eastAsia="宋体" w:cs="宋体"/>
                      <w:bCs/>
                      <w:color w:val="auto"/>
                      <w:sz w:val="24"/>
                      <w:szCs w:val="24"/>
                      <w:lang w:val="en-US" w:eastAsia="zh-CN"/>
                    </w:rPr>
                    <w:t>。</w:t>
                  </w:r>
                </w:p>
              </w:tc>
              <w:tc>
                <w:tcPr>
                  <w:tcW w:w="3136"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管理目标方案</w:t>
                  </w:r>
                </w:p>
              </w:tc>
              <w:tc>
                <w:tcPr>
                  <w:tcW w:w="1350"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ascii="Wingdings" w:hAnsi="Wingdings"/>
              </w:rPr>
              <w:t>¨</w:t>
            </w:r>
            <w:r>
              <w:rPr>
                <w:rFonts w:hint="eastAsia"/>
              </w:rPr>
              <w:t>自然资源</w:t>
            </w:r>
            <w:r>
              <w:rPr>
                <w:rFonts w:hint="eastAsia"/>
              </w:rPr>
              <w:sym w:font="Wingdings 2" w:char="0052"/>
            </w:r>
            <w:r>
              <w:rPr>
                <w:rFonts w:hint="eastAsia"/>
              </w:rPr>
              <w:t>基础设施</w:t>
            </w:r>
            <w:r>
              <w:rPr>
                <w:rFonts w:hint="eastAsia" w:ascii="Wingdings" w:hAnsi="Wingdings"/>
              </w:rPr>
              <w:t>¨</w:t>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宋体" w:hAnsi="宋体"/>
                <w:szCs w:val="21"/>
                <w:u w:val="single"/>
              </w:rPr>
              <w:t>车床、锯床、钻床、电脑、打印机、网络、电话等设施设备，</w:t>
            </w:r>
            <w:r>
              <w:rPr>
                <w:rFonts w:hint="eastAsia" w:ascii="宋体" w:hAnsi="宋体"/>
                <w:szCs w:val="21"/>
                <w:u w:val="single"/>
                <w:lang w:val="en-US" w:eastAsia="zh-CN"/>
              </w:rPr>
              <w:t>2.8T行车</w:t>
            </w:r>
            <w:r>
              <w:rPr>
                <w:rFonts w:hint="eastAsia" w:ascii="Times New Roman" w:hAnsi="Times New Roman" w:eastAsia="宋体" w:cs="Times New Roman"/>
              </w:rPr>
              <w:t>）</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灭火器</w:t>
            </w:r>
            <w:r>
              <w:rPr>
                <w:rFonts w:hint="eastAsia" w:ascii="Times New Roman" w:hAnsi="Times New Roman" w:eastAsia="宋体" w:cs="Times New Roman"/>
              </w:rPr>
              <w:t>）</w:t>
            </w:r>
          </w:p>
          <w:p>
            <w:pPr>
              <w:shd w:val="clear" w:color="auto" w:fill="EBF1DE" w:themeFill="accent3" w:themeFillTint="32"/>
            </w:pPr>
            <w:r>
              <w:rPr>
                <w:rFonts w:hint="eastAsia"/>
              </w:rPr>
              <w:t>特种设备：</w:t>
            </w:r>
            <w:r>
              <w:rPr>
                <w:rFonts w:hint="eastAsia" w:ascii="Wingdings" w:hAnsi="Wingdings"/>
              </w:rPr>
              <w:sym w:font="Wingdings 2" w:char="00A3"/>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A3"/>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2"/>
                    <w:numPr>
                      <w:ilvl w:val="0"/>
                      <w:numId w:val="0"/>
                    </w:numPr>
                    <w:rPr>
                      <w:rFonts w:hint="eastAsia"/>
                      <w:lang w:val="en-US" w:eastAsia="zh-CN"/>
                    </w:rPr>
                  </w:pPr>
                  <w:r>
                    <w:rPr>
                      <w:rFonts w:hint="eastAsia"/>
                      <w:lang w:val="en-US" w:eastAsia="zh-CN"/>
                    </w:rPr>
                    <w:t>废气排放</w:t>
                  </w:r>
                </w:p>
              </w:tc>
              <w:tc>
                <w:tcPr>
                  <w:tcW w:w="3665" w:type="dxa"/>
                </w:tcPr>
                <w:p>
                  <w:pPr>
                    <w:pStyle w:val="2"/>
                    <w:numPr>
                      <w:ilvl w:val="0"/>
                      <w:numId w:val="0"/>
                    </w:numPr>
                    <w:rPr>
                      <w:rFonts w:hint="eastAsia"/>
                      <w:lang w:val="en-US" w:eastAsia="zh-CN"/>
                    </w:rPr>
                  </w:pPr>
                  <w:r>
                    <w:rPr>
                      <w:rFonts w:hint="eastAsia"/>
                      <w:lang w:val="en-US" w:eastAsia="zh-CN"/>
                    </w:rPr>
                    <w:t>废气经过收集，设备处理达标排放。</w:t>
                  </w:r>
                </w:p>
              </w:tc>
              <w:tc>
                <w:tcPr>
                  <w:tcW w:w="3265" w:type="dxa"/>
                </w:tcPr>
                <w:p>
                  <w:pPr>
                    <w:pStyle w:val="2"/>
                    <w:numPr>
                      <w:ilvl w:val="0"/>
                      <w:numId w:val="0"/>
                    </w:numPr>
                    <w:rPr>
                      <w:rFonts w:hint="eastAsia"/>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numPr>
                      <w:ilvl w:val="0"/>
                      <w:numId w:val="0"/>
                    </w:numPr>
                    <w:jc w:val="both"/>
                    <w:rPr>
                      <w:rFonts w:hint="eastAsia"/>
                      <w:lang w:val="en-US" w:eastAsia="zh-CN"/>
                    </w:rPr>
                  </w:pPr>
                  <w:r>
                    <w:rPr>
                      <w:rFonts w:hint="eastAsia"/>
                      <w:lang w:val="en-US" w:eastAsia="zh-CN"/>
                    </w:rPr>
                    <w:t>1、选用低噪声生产设备</w:t>
                  </w:r>
                </w:p>
                <w:p>
                  <w:pPr>
                    <w:pStyle w:val="2"/>
                    <w:numPr>
                      <w:ilvl w:val="0"/>
                      <w:numId w:val="0"/>
                    </w:numPr>
                    <w:rPr>
                      <w:rFonts w:hint="eastAsia"/>
                      <w:lang w:val="en-US" w:eastAsia="zh-CN"/>
                    </w:rPr>
                  </w:pPr>
                  <w:r>
                    <w:rPr>
                      <w:rFonts w:hint="eastAsia"/>
                      <w:lang w:val="en-US" w:eastAsia="zh-CN"/>
                    </w:rPr>
                    <w:t>2、加装消音器</w:t>
                  </w:r>
                </w:p>
                <w:p>
                  <w:pPr>
                    <w:pStyle w:val="2"/>
                    <w:numPr>
                      <w:ilvl w:val="0"/>
                      <w:numId w:val="0"/>
                    </w:numPr>
                    <w:rPr>
                      <w:rFonts w:hint="eastAsia"/>
                      <w:lang w:val="en-US" w:eastAsia="zh-CN"/>
                    </w:rPr>
                  </w:pPr>
                  <w:r>
                    <w:rPr>
                      <w:rFonts w:hint="eastAsia"/>
                      <w:lang w:val="en-US" w:eastAsia="zh-CN"/>
                    </w:rPr>
                    <w:t>3、基础减震</w:t>
                  </w:r>
                </w:p>
                <w:p>
                  <w:pPr>
                    <w:shd w:val="clear" w:color="auto" w:fill="EBF1DE" w:themeFill="accent3" w:themeFillTint="32"/>
                    <w:jc w:val="left"/>
                  </w:pPr>
                  <w:r>
                    <w:rPr>
                      <w:rFonts w:hint="eastAsia"/>
                      <w:lang w:val="en-US" w:eastAsia="zh-CN"/>
                    </w:rPr>
                    <w:t>4、厂房隔声</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numPr>
                      <w:ilvl w:val="0"/>
                      <w:numId w:val="0"/>
                    </w:numPr>
                    <w:jc w:val="both"/>
                    <w:rPr>
                      <w:rFonts w:hint="eastAsia"/>
                      <w:lang w:val="en-US" w:eastAsia="zh-CN"/>
                    </w:rPr>
                  </w:pPr>
                  <w:r>
                    <w:rPr>
                      <w:rFonts w:hint="eastAsia"/>
                      <w:lang w:val="en-US" w:eastAsia="zh-CN"/>
                    </w:rPr>
                    <w:t>1、经一般固废暂存处暂存后外售</w:t>
                  </w:r>
                </w:p>
                <w:p>
                  <w:pPr>
                    <w:numPr>
                      <w:ilvl w:val="0"/>
                      <w:numId w:val="0"/>
                    </w:numPr>
                    <w:jc w:val="both"/>
                    <w:rPr>
                      <w:rFonts w:hint="eastAsia"/>
                      <w:szCs w:val="22"/>
                      <w:lang w:val="en-US" w:eastAsia="zh-CN"/>
                    </w:rPr>
                  </w:pPr>
                  <w:r>
                    <w:rPr>
                      <w:rFonts w:hint="eastAsia"/>
                      <w:szCs w:val="22"/>
                      <w:lang w:val="en-US" w:eastAsia="zh-CN"/>
                    </w:rPr>
                    <w:t>2、交由设备厂家回收</w:t>
                  </w:r>
                </w:p>
                <w:p>
                  <w:pPr>
                    <w:numPr>
                      <w:ilvl w:val="0"/>
                      <w:numId w:val="0"/>
                    </w:numPr>
                    <w:jc w:val="both"/>
                    <w:rPr>
                      <w:rFonts w:hint="eastAsia"/>
                      <w:szCs w:val="22"/>
                      <w:lang w:val="en-US" w:eastAsia="zh-CN"/>
                    </w:rPr>
                  </w:pPr>
                  <w:r>
                    <w:rPr>
                      <w:rFonts w:hint="eastAsia"/>
                      <w:szCs w:val="22"/>
                      <w:lang w:val="en-US" w:eastAsia="zh-CN"/>
                    </w:rPr>
                    <w:t>3、交由有资质单位处置</w:t>
                  </w:r>
                </w:p>
                <w:p>
                  <w:pPr>
                    <w:shd w:val="clear" w:color="auto" w:fill="EBF1DE" w:themeFill="accent3" w:themeFillTint="32"/>
                    <w:jc w:val="left"/>
                  </w:pPr>
                  <w:r>
                    <w:rPr>
                      <w:rFonts w:hint="eastAsia"/>
                      <w:szCs w:val="22"/>
                      <w:lang w:val="en-US" w:eastAsia="zh-CN"/>
                    </w:rPr>
                    <w:t>4、生活垃圾收集后运至垃圾中转处置</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A3"/>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b/>
                <w:bCs/>
                <w:color w:val="auto"/>
                <w:lang w:val="en-US" w:eastAsia="zh-CN"/>
              </w:rPr>
              <w:t>未进行环境监测，见不符合报告。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27-28</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30</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A3"/>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危险废物处置□消防检测□生产/服务过程</w:t>
            </w:r>
            <w:r>
              <w:rPr>
                <w:rFonts w:hint="eastAsia"/>
              </w:rPr>
              <w:sym w:font="Wingdings 2" w:char="00A3"/>
            </w:r>
            <w:r>
              <w:rPr>
                <w:rFonts w:hint="eastAsia"/>
              </w:rPr>
              <w:t>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rPr>
            </w:pPr>
            <w:r>
              <w:rPr>
                <w:rFonts w:hint="eastAsia" w:ascii="Times New Roman" w:hAnsi="Times New Roman" w:eastAsia="宋体" w:cs="Times New Roman"/>
              </w:rPr>
              <w:t>坚持标准，持续改进，争创一流，顾客满意。</w:t>
            </w:r>
          </w:p>
          <w:p>
            <w:pPr>
              <w:rPr>
                <w:rFonts w:hint="eastAsia" w:ascii="Times New Roman" w:hAnsi="Times New Roman" w:eastAsia="宋体" w:cs="Times New Roman"/>
              </w:rPr>
            </w:pPr>
            <w:r>
              <w:rPr>
                <w:rFonts w:hint="eastAsia" w:ascii="Times New Roman" w:hAnsi="Times New Roman" w:eastAsia="宋体" w:cs="Times New Roman"/>
              </w:rPr>
              <w:t xml:space="preserve"> 安全第一，预防为主；遵规守法，减污降耗；持续发展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张正霞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监管部门针对职业健康安全监管力度加大，如公司职业健康安全要求执行不规范，可能存在被查处的风险</w:t>
                  </w:r>
                </w:p>
              </w:tc>
              <w:tc>
                <w:tcPr>
                  <w:tcW w:w="3965" w:type="dxa"/>
                </w:tcPr>
                <w:p>
                  <w:r>
                    <w:rPr>
                      <w:rFonts w:hint="eastAsia"/>
                    </w:rPr>
                    <w:t>各级部门严格按照公司的职业健康安全管理制度开展相关工作</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公司现有的制度，是否符合职业健康安全标准的要求</w:t>
                  </w:r>
                </w:p>
              </w:tc>
              <w:tc>
                <w:tcPr>
                  <w:tcW w:w="3965" w:type="dxa"/>
                </w:tcPr>
                <w:p>
                  <w:r>
                    <w:rPr>
                      <w:rFonts w:hint="eastAsia"/>
                      <w:lang w:eastAsia="zh-CN"/>
                    </w:rPr>
                    <w:t>办公室</w:t>
                  </w:r>
                  <w:r>
                    <w:rPr>
                      <w:rFonts w:hint="eastAsia"/>
                    </w:rPr>
                    <w:t>具体落实职业健康安全法律法规的要求。</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A3"/>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sym w:font="Wingdings 2" w:char="00A3"/>
            </w:r>
            <w:r>
              <w:rPr>
                <w:rFonts w:hint="eastAsia"/>
              </w:rPr>
              <w:t>安全现状评估报告表日期：</w:t>
            </w:r>
          </w:p>
          <w:p>
            <w:pPr>
              <w:rPr>
                <w:rFonts w:hint="eastAsia"/>
                <w:lang w:val="en-US" w:eastAsia="zh-CN"/>
              </w:rPr>
            </w:pPr>
            <w:r>
              <w:rPr>
                <w:rFonts w:hint="eastAsia"/>
              </w:rPr>
              <w:sym w:font="Wingdings 2" w:char="00A3"/>
            </w:r>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A3"/>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无人身死亡事故</w:t>
                  </w:r>
                  <w:r>
                    <w:rPr>
                      <w:rFonts w:hint="eastAsia" w:ascii="仿宋_GB2312" w:hAnsi="宋体" w:eastAsia="宋体" w:cs="Times New Roman"/>
                      <w:sz w:val="21"/>
                      <w:szCs w:val="21"/>
                      <w:lang w:eastAsia="zh-CN"/>
                    </w:rPr>
                    <w:t>、</w:t>
                  </w:r>
                  <w:r>
                    <w:rPr>
                      <w:rFonts w:hint="eastAsia" w:ascii="仿宋_GB2312" w:hAnsi="宋体" w:eastAsia="宋体" w:cs="Times New Roman"/>
                      <w:sz w:val="21"/>
                      <w:szCs w:val="21"/>
                    </w:rPr>
                    <w:t>无重伤事故；轻伤事故控制在年度2次以内。</w:t>
                  </w:r>
                </w:p>
              </w:tc>
              <w:tc>
                <w:tcPr>
                  <w:tcW w:w="3136" w:type="dxa"/>
                  <w:shd w:val="clear" w:color="auto" w:fill="auto"/>
                  <w:vAlign w:val="center"/>
                </w:tcPr>
                <w:p>
                  <w:pPr>
                    <w:jc w:val="left"/>
                    <w:rPr>
                      <w:rFonts w:hint="eastAsia" w:ascii="仿宋_GB2312" w:hAnsi="宋体" w:eastAsia="宋体" w:cs="Times New Roman"/>
                      <w:sz w:val="21"/>
                      <w:szCs w:val="21"/>
                      <w:lang w:val="en-GB"/>
                    </w:rPr>
                  </w:pPr>
                  <w:r>
                    <w:rPr>
                      <w:rFonts w:hint="eastAsia" w:ascii="仿宋_GB2312" w:hAnsi="宋体" w:eastAsia="宋体" w:cs="Times New Roman"/>
                      <w:sz w:val="21"/>
                      <w:szCs w:val="21"/>
                      <w:lang w:val="en-US" w:eastAsia="zh-CN"/>
                    </w:rPr>
                    <w:t>加强生产人员班前安全教育、检查，规范安全操作规程，发现安全隐患，责令责任方立即整改</w:t>
                  </w:r>
                </w:p>
              </w:tc>
              <w:tc>
                <w:tcPr>
                  <w:tcW w:w="1350" w:type="dxa"/>
                  <w:shd w:val="clear" w:color="auto" w:fill="auto"/>
                  <w:vAlign w:val="center"/>
                </w:tcPr>
                <w:p>
                  <w:pPr>
                    <w:jc w:val="left"/>
                    <w:rPr>
                      <w:rFonts w:hint="default" w:ascii="仿宋_GB2312" w:hAnsi="宋体" w:eastAsia="宋体" w:cs="Times New Roman"/>
                      <w:sz w:val="21"/>
                      <w:szCs w:val="21"/>
                      <w:lang w:val="en-US" w:eastAsia="zh-CN"/>
                    </w:rPr>
                  </w:pPr>
                  <w:r>
                    <w:rPr>
                      <w:rFonts w:hint="eastAsia" w:ascii="仿宋_GB2312" w:hAnsi="宋体" w:cs="Times New Roman"/>
                      <w:sz w:val="21"/>
                      <w:szCs w:val="21"/>
                      <w:lang w:val="en-US" w:eastAsia="zh-CN"/>
                    </w:rPr>
                    <w:t>生产技术部</w:t>
                  </w:r>
                </w:p>
              </w:tc>
              <w:tc>
                <w:tcPr>
                  <w:tcW w:w="1774" w:type="dxa"/>
                  <w:shd w:val="clear" w:color="auto" w:fill="auto"/>
                  <w:vAlign w:val="center"/>
                </w:tcPr>
                <w:p>
                  <w:pPr>
                    <w:jc w:val="left"/>
                    <w:rPr>
                      <w:rFonts w:hint="eastAsia" w:ascii="仿宋_GB2312" w:hAnsi="宋体" w:eastAsia="宋体" w:cs="Times New Roman"/>
                      <w:sz w:val="21"/>
                      <w:szCs w:val="21"/>
                      <w:lang w:val="en-US" w:eastAsia="zh-CN"/>
                    </w:rPr>
                  </w:pPr>
                  <w:r>
                    <w:rPr>
                      <w:rFonts w:hint="eastAsia" w:ascii="仿宋_GB2312" w:hAnsi="宋体" w:eastAsia="宋体"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杜绝火灾事故，火灾事故发生率为零。</w:t>
                  </w:r>
                </w:p>
              </w:tc>
              <w:tc>
                <w:tcPr>
                  <w:tcW w:w="3136" w:type="dxa"/>
                  <w:shd w:val="clear" w:color="auto" w:fill="auto"/>
                  <w:vAlign w:val="center"/>
                </w:tcPr>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a.定期检查维护电器设备、电线电路</w:t>
                  </w:r>
                </w:p>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b.办公区禁止吸烟、禁止使用明火</w:t>
                  </w:r>
                </w:p>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c.严格执行《安全管理制度》</w:t>
                  </w:r>
                </w:p>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d. 对相关人员进行消防意识培训，制订应急预案并进行演习</w:t>
                  </w:r>
                </w:p>
              </w:tc>
              <w:tc>
                <w:tcPr>
                  <w:tcW w:w="1350" w:type="dxa"/>
                  <w:shd w:val="clear" w:color="auto" w:fill="auto"/>
                  <w:vAlign w:val="center"/>
                </w:tcPr>
                <w:p>
                  <w:pPr>
                    <w:jc w:val="left"/>
                    <w:rPr>
                      <w:rFonts w:hint="default" w:ascii="仿宋_GB2312" w:hAnsi="宋体" w:eastAsia="宋体" w:cs="Times New Roman"/>
                      <w:sz w:val="21"/>
                      <w:szCs w:val="21"/>
                      <w:lang w:val="en-US" w:eastAsia="zh-CN"/>
                    </w:rPr>
                  </w:pPr>
                  <w:r>
                    <w:rPr>
                      <w:rFonts w:hint="eastAsia" w:ascii="仿宋_GB2312" w:hAnsi="宋体" w:eastAsia="宋体" w:cs="Times New Roman"/>
                      <w:sz w:val="21"/>
                      <w:szCs w:val="21"/>
                      <w:lang w:val="en-US" w:eastAsia="zh-CN"/>
                    </w:rPr>
                    <w:t>办公室、</w:t>
                  </w:r>
                  <w:r>
                    <w:rPr>
                      <w:rFonts w:hint="eastAsia" w:ascii="仿宋_GB2312" w:hAnsi="宋体" w:cs="Times New Roman"/>
                      <w:sz w:val="21"/>
                      <w:szCs w:val="21"/>
                      <w:lang w:val="en-US" w:eastAsia="zh-CN"/>
                    </w:rPr>
                    <w:t>生产技术部</w:t>
                  </w:r>
                </w:p>
              </w:tc>
              <w:tc>
                <w:tcPr>
                  <w:tcW w:w="1774" w:type="dxa"/>
                  <w:shd w:val="clear" w:color="auto" w:fill="auto"/>
                  <w:vAlign w:val="center"/>
                </w:tcPr>
                <w:p>
                  <w:pPr>
                    <w:jc w:val="left"/>
                    <w:rPr>
                      <w:rFonts w:hint="eastAsia" w:ascii="仿宋_GB2312" w:hAnsi="宋体" w:eastAsia="宋体" w:cs="Times New Roman"/>
                      <w:sz w:val="21"/>
                      <w:szCs w:val="21"/>
                      <w:lang w:val="en-US" w:eastAsia="zh-CN"/>
                    </w:rPr>
                  </w:pPr>
                  <w:r>
                    <w:rPr>
                      <w:rFonts w:hint="eastAsia" w:ascii="仿宋_GB2312" w:hAnsi="宋体" w:eastAsia="宋体"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hint="eastAsia" w:ascii="仿宋_GB2312" w:hAnsi="宋体" w:eastAsia="宋体" w:cs="Times New Roman"/>
                      <w:sz w:val="21"/>
                      <w:szCs w:val="21"/>
                    </w:rPr>
                  </w:pPr>
                  <w:r>
                    <w:rPr>
                      <w:rFonts w:hint="eastAsia" w:ascii="仿宋_GB2312" w:hAnsi="宋体" w:eastAsia="宋体" w:cs="Times New Roman"/>
                      <w:sz w:val="21"/>
                      <w:szCs w:val="21"/>
                    </w:rPr>
                    <w:t>职业病发病率为0</w:t>
                  </w:r>
                </w:p>
              </w:tc>
              <w:tc>
                <w:tcPr>
                  <w:tcW w:w="3136" w:type="dxa"/>
                  <w:shd w:val="clear" w:color="auto" w:fill="auto"/>
                  <w:vAlign w:val="center"/>
                </w:tcPr>
                <w:p>
                  <w:pPr>
                    <w:jc w:val="left"/>
                    <w:rPr>
                      <w:rFonts w:hint="default" w:ascii="仿宋_GB2312" w:hAnsi="宋体" w:eastAsia="宋体" w:cs="Times New Roman"/>
                      <w:sz w:val="21"/>
                      <w:szCs w:val="21"/>
                      <w:lang w:val="en-US"/>
                    </w:rPr>
                  </w:pPr>
                  <w:r>
                    <w:rPr>
                      <w:rFonts w:hint="eastAsia" w:ascii="仿宋_GB2312" w:hAnsi="宋体" w:eastAsia="宋体" w:cs="Times New Roman"/>
                      <w:sz w:val="21"/>
                      <w:szCs w:val="21"/>
                      <w:lang w:val="en-US" w:eastAsia="zh-CN"/>
                    </w:rPr>
                    <w:t>培训安全防护知识，配发防护用品，定期体检</w:t>
                  </w:r>
                </w:p>
              </w:tc>
              <w:tc>
                <w:tcPr>
                  <w:tcW w:w="1350" w:type="dxa"/>
                  <w:shd w:val="clear" w:color="auto" w:fill="auto"/>
                  <w:vAlign w:val="center"/>
                </w:tcPr>
                <w:p>
                  <w:pPr>
                    <w:rPr>
                      <w:rFonts w:hint="eastAsia" w:ascii="宋体" w:hAnsi="宋体" w:eastAsia="宋体"/>
                      <w:lang w:val="en-US" w:eastAsia="zh-CN"/>
                    </w:rPr>
                  </w:pPr>
                </w:p>
              </w:tc>
              <w:tc>
                <w:tcPr>
                  <w:tcW w:w="1774" w:type="dxa"/>
                  <w:shd w:val="clear" w:color="auto" w:fill="auto"/>
                  <w:vAlign w:val="center"/>
                </w:tcPr>
                <w:p>
                  <w:pPr>
                    <w:jc w:val="both"/>
                    <w:rPr>
                      <w:rFonts w:hint="default"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rPr>
                <w:u w:val="single"/>
              </w:rPr>
            </w:pPr>
            <w:r>
              <w:rPr>
                <w:rFonts w:hint="eastAsia" w:ascii="Times New Roman" w:hAnsi="Times New Roman" w:eastAsia="宋体" w:cs="Times New Roman"/>
              </w:rPr>
              <w:t>主要生产设备有：（</w:t>
            </w:r>
            <w:r>
              <w:rPr>
                <w:rFonts w:hint="eastAsia" w:ascii="宋体" w:hAnsi="宋体"/>
                <w:szCs w:val="21"/>
                <w:u w:val="single"/>
              </w:rPr>
              <w:t>车床、锯床、钻床、电脑、打印机、网络、电话等设施设备，</w:t>
            </w:r>
            <w:r>
              <w:rPr>
                <w:rFonts w:hint="eastAsia" w:ascii="宋体" w:hAnsi="宋体"/>
                <w:szCs w:val="21"/>
                <w:u w:val="single"/>
                <w:lang w:val="en-US" w:eastAsia="zh-CN"/>
              </w:rPr>
              <w:t>2.8T行车</w:t>
            </w:r>
            <w:r>
              <w:rPr>
                <w:rFonts w:hint="eastAsia" w:ascii="Times New Roman" w:hAnsi="Times New Roman" w:eastAsia="宋体" w:cs="Times New Roman"/>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sym w:font="Wingdings 2" w:char="00A3"/>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2" w:char="00A3"/>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A3"/>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A3"/>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A3"/>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A3"/>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rPr>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sym w:font="Wingdings 2" w:char="00A3"/>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sym w:font="Wingdings 2" w:char="00A3"/>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b/>
                <w:bCs/>
                <w:lang w:eastAsia="zh-CN"/>
              </w:rPr>
              <w:t>：</w:t>
            </w:r>
            <w:bookmarkStart w:id="35" w:name="_GoBack"/>
            <w:bookmarkEnd w:id="35"/>
            <w:r>
              <w:rPr>
                <w:rFonts w:hint="eastAsia"/>
                <w:b/>
                <w:bCs/>
                <w:lang w:val="en-US" w:eastAsia="zh-CN"/>
              </w:rPr>
              <w:t>未体检，详见不符合报告</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27-28</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D525BB"/>
    <w:multiLevelType w:val="singleLevel"/>
    <w:tmpl w:val="B2D525BB"/>
    <w:lvl w:ilvl="0" w:tentative="0">
      <w:start w:val="1"/>
      <w:numFmt w:val="decimal"/>
      <w:suff w:val="nothing"/>
      <w:lvlText w:val="%1、"/>
      <w:lvlJc w:val="left"/>
    </w:lvl>
  </w:abstractNum>
  <w:abstractNum w:abstractNumId="1">
    <w:nsid w:val="DB128449"/>
    <w:multiLevelType w:val="singleLevel"/>
    <w:tmpl w:val="DB128449"/>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242932"/>
    <w:rsid w:val="01B77036"/>
    <w:rsid w:val="01EB4798"/>
    <w:rsid w:val="02D7033C"/>
    <w:rsid w:val="043E783F"/>
    <w:rsid w:val="091E27BF"/>
    <w:rsid w:val="11EA3687"/>
    <w:rsid w:val="188B6D82"/>
    <w:rsid w:val="1A2A0506"/>
    <w:rsid w:val="1BF10477"/>
    <w:rsid w:val="20A20323"/>
    <w:rsid w:val="236256B9"/>
    <w:rsid w:val="23CA4D5B"/>
    <w:rsid w:val="241A0075"/>
    <w:rsid w:val="245C799D"/>
    <w:rsid w:val="246D5985"/>
    <w:rsid w:val="249A318F"/>
    <w:rsid w:val="24B0771A"/>
    <w:rsid w:val="302D585D"/>
    <w:rsid w:val="33490158"/>
    <w:rsid w:val="35F00154"/>
    <w:rsid w:val="36F06FEB"/>
    <w:rsid w:val="37533D3B"/>
    <w:rsid w:val="38482FDB"/>
    <w:rsid w:val="3AB03306"/>
    <w:rsid w:val="3EA656FC"/>
    <w:rsid w:val="3F993760"/>
    <w:rsid w:val="41B36724"/>
    <w:rsid w:val="42431BEE"/>
    <w:rsid w:val="448A4B42"/>
    <w:rsid w:val="46196ACF"/>
    <w:rsid w:val="48C8423F"/>
    <w:rsid w:val="4C2E609B"/>
    <w:rsid w:val="504D1554"/>
    <w:rsid w:val="552200F4"/>
    <w:rsid w:val="5BD63072"/>
    <w:rsid w:val="5BE73B2C"/>
    <w:rsid w:val="5E200307"/>
    <w:rsid w:val="60423922"/>
    <w:rsid w:val="631E4D0D"/>
    <w:rsid w:val="67A56440"/>
    <w:rsid w:val="67E84F19"/>
    <w:rsid w:val="68C76ABD"/>
    <w:rsid w:val="6F0A2E65"/>
    <w:rsid w:val="6F366C6C"/>
    <w:rsid w:val="70570AE6"/>
    <w:rsid w:val="76AB5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2022-09-19T07:42:54Z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