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240" w:lineRule="auto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-331470</wp:posOffset>
            </wp:positionH>
            <wp:positionV relativeFrom="paragraph">
              <wp:posOffset>-749300</wp:posOffset>
            </wp:positionV>
            <wp:extent cx="6852920" cy="8843010"/>
            <wp:effectExtent l="0" t="0" r="5080" b="8890"/>
            <wp:wrapNone/>
            <wp:docPr id="1" name="图片 1" descr="夸克分享_1663499440805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夸克分享_1663499440805_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2920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289"/>
        <w:gridCol w:w="406"/>
        <w:gridCol w:w="882"/>
        <w:gridCol w:w="20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111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盐山县鹏润管件制造有限公司</w:t>
            </w:r>
            <w:bookmarkEnd w:id="2"/>
          </w:p>
        </w:tc>
        <w:tc>
          <w:tcPr>
            <w:tcW w:w="128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25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Q：17.02.00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田玉发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Q：17.02.00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产品生产过程：锻坯检验→机加工→去毛刺→刷油→标识→成品检验→包装→入库→交付。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     销售过程：合同签订→采购→检验→入库→交付。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关键控制点：机加工、销售。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需严格按照作业指导书生产，重点控制加工精度。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产品/服务执行标准为：GB/T14383-2008《锻制承插焊和螺纹管件》、HG/T20592-2009《钢制管法兰（PN系列）》、《GB∕T12459-2017钢制对焊管件类型与参数》，《GB/T13401-2017钢制对焊管件技术规范》、《GB∕T 9124.1-2019 钢制管法兰 第1部分：PN 系列》等标准。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外观、规格尺寸、力学性能等，无型式试验要求。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240" w:lineRule="auto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-753110</wp:posOffset>
            </wp:positionV>
            <wp:extent cx="6938645" cy="9582150"/>
            <wp:effectExtent l="0" t="0" r="8255" b="6350"/>
            <wp:wrapNone/>
            <wp:docPr id="3" name="图片 3" descr="夸克分享_1663499440807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夸克分享_1663499440807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8645" cy="958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盐山县鹏润管件制造有限公司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E：17.02.00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田玉发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E：17.02.00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产品生产过程：锻坯检验→机加工→去毛刺→刷油→标识→成品检验→包装→入库→交付。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     销售过程：合同签订→采购→检验→入库→交付。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重大环境因素：火灾触电，电能等资源能源的消耗，粉尘排放，固废排放；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12348-2008、《中华人民共和国消防法》；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240" w:lineRule="auto"/>
        <w:jc w:val="center"/>
        <w:rPr>
          <w:rFonts w:ascii="宋体"/>
          <w:b/>
          <w:sz w:val="18"/>
          <w:szCs w:val="18"/>
        </w:rPr>
      </w:pPr>
      <w:bookmarkStart w:id="4" w:name="_GoBack"/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-591820</wp:posOffset>
            </wp:positionH>
            <wp:positionV relativeFrom="paragraph">
              <wp:posOffset>-734060</wp:posOffset>
            </wp:positionV>
            <wp:extent cx="7217410" cy="9332595"/>
            <wp:effectExtent l="0" t="0" r="8890" b="1905"/>
            <wp:wrapNone/>
            <wp:docPr id="4" name="图片 4" descr="夸克分享_1663499440808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夸克分享_1663499440808_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17410" cy="933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盐山县鹏润管件制造有限公司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O：17.02.00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田玉发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O：17.02.00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产品生产过程：锻坯检验→机加工→去毛刺→刷油→标识→成品检验→包装→入库→交付。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     销售过程：合同签订→采购→检验→入库→交付。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重大危险源：人身伤害、机械伤害、触电、火灾；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75C2F61"/>
    <w:rsid w:val="0ADB323E"/>
    <w:rsid w:val="317B13A2"/>
    <w:rsid w:val="31885719"/>
    <w:rsid w:val="327A03A8"/>
    <w:rsid w:val="32F15C31"/>
    <w:rsid w:val="73940767"/>
    <w:rsid w:val="75EF76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hb</cp:lastModifiedBy>
  <dcterms:modified xsi:type="dcterms:W3CDTF">2022-09-18T11:13:35Z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2052-11.1.0.9914</vt:lpwstr>
  </property>
</Properties>
</file>