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0559-2022-QEO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重庆西友新型墙体材料有限公司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2022年08月18日 上午至2022年08月18日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重庆市南川区工业园区流金路2号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Q:17.12.05</w:t>
            </w:r>
          </w:p>
          <w:p>
            <w:pPr>
              <w:spacing w:line="240" w:lineRule="exact"/>
              <w:jc w:val="center"/>
              <w:rPr>
                <w:b/>
                <w:color w:val="000000"/>
                <w:szCs w:val="21"/>
              </w:rPr>
            </w:pPr>
            <w:r>
              <w:rPr>
                <w:b/>
                <w:color w:val="000000"/>
                <w:szCs w:val="21"/>
              </w:rPr>
              <w:t>E:17.12.05</w:t>
            </w:r>
          </w:p>
          <w:p>
            <w:pPr>
              <w:spacing w:line="240" w:lineRule="exact"/>
              <w:jc w:val="center"/>
              <w:rPr>
                <w:b/>
                <w:color w:val="000000"/>
                <w:szCs w:val="21"/>
              </w:rPr>
            </w:pPr>
            <w:r>
              <w:rPr>
                <w:b/>
                <w:color w:val="000000"/>
                <w:szCs w:val="21"/>
              </w:rPr>
              <w:t>O:17.12.05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r>
              <w:rPr>
                <w:b/>
                <w:color w:val="000000"/>
                <w:szCs w:val="21"/>
              </w:rPr>
              <w:t>Q:17.12.05</w:t>
            </w:r>
          </w:p>
          <w:p>
            <w:pPr>
              <w:spacing w:line="240" w:lineRule="exact"/>
              <w:jc w:val="center"/>
              <w:rPr>
                <w:b/>
                <w:color w:val="000000"/>
                <w:szCs w:val="21"/>
              </w:rPr>
            </w:pPr>
            <w:r>
              <w:rPr>
                <w:b/>
                <w:color w:val="000000"/>
                <w:szCs w:val="21"/>
              </w:rPr>
              <w:t>E:17.12.05</w:t>
            </w:r>
          </w:p>
          <w:p>
            <w:pPr>
              <w:spacing w:line="240" w:lineRule="exact"/>
              <w:jc w:val="center"/>
              <w:rPr>
                <w:b/>
                <w:color w:val="000000"/>
                <w:szCs w:val="21"/>
              </w:rPr>
            </w:pPr>
            <w:r>
              <w:rPr>
                <w:b/>
                <w:color w:val="000000"/>
                <w:szCs w:val="21"/>
              </w:rPr>
              <w:t>O:17.12.05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重庆西友新型墙体材料有限公司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重庆市南川区工业园区流金路</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408400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重庆市南川区工业园区流金路2号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408400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施国生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15922770118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谭同有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施国生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t>幕墙装饰铝单板、铝天花板的生产</w:t>
            </w:r>
            <w:r>
              <w:rPr>
                <w:rFonts w:hint="eastAsia"/>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bCs/>
                <w:sz w:val="21"/>
                <w:szCs w:val="21"/>
              </w:rPr>
            </w:pPr>
            <w:r>
              <w:rPr>
                <w:rFonts w:hint="eastAsia"/>
                <w:bCs/>
                <w:sz w:val="21"/>
                <w:szCs w:val="21"/>
              </w:rPr>
              <w:t>下料—切割冲压—折弯成型—焊接—抛光打磨—前处理—喷涂—烘烤—检验包装—入库。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t>幕墙装饰铝单板、铝天花板的生产</w:t>
            </w:r>
            <w:bookmarkEnd w:id="35"/>
          </w:p>
        </w:tc>
        <w:tc>
          <w:tcPr>
            <w:tcW w:w="2006" w:type="dxa"/>
            <w:gridSpan w:val="3"/>
            <w:vAlign w:val="center"/>
          </w:tcPr>
          <w:p>
            <w:pPr>
              <w:rPr>
                <w:rFonts w:ascii="宋体" w:hAnsi="宋体"/>
                <w:b/>
                <w:color w:val="000000"/>
                <w:szCs w:val="21"/>
              </w:rPr>
            </w:pPr>
            <w:bookmarkStart w:id="36" w:name="专业代码"/>
            <w:r>
              <w:t>Q：17.12.05</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Times New Roman" w:hAnsi="Times New Roman" w:eastAsia="宋体" w:cs="Times New Roman"/>
              </w:rPr>
            </w:pPr>
            <w:r>
              <w:rPr>
                <w:rFonts w:ascii="Times New Roman" w:hAnsi="Times New Roman" w:eastAsia="宋体" w:cs="Times New Roman"/>
              </w:rPr>
              <w:t>幕墙装饰铝单板、铝天花板的生产所涉及场所的相关环境管理活动</w:t>
            </w:r>
          </w:p>
        </w:tc>
        <w:tc>
          <w:tcPr>
            <w:tcW w:w="2006" w:type="dxa"/>
            <w:gridSpan w:val="3"/>
            <w:vAlign w:val="center"/>
          </w:tcPr>
          <w:p>
            <w:pPr>
              <w:rPr>
                <w:rFonts w:ascii="Times New Roman" w:hAnsi="Times New Roman" w:eastAsia="宋体" w:cs="Times New Roman"/>
              </w:rPr>
            </w:pPr>
            <w:r>
              <w:rPr>
                <w:rFonts w:ascii="Times New Roman" w:hAnsi="Times New Roman" w:eastAsia="宋体" w:cs="Times New Roman"/>
              </w:rPr>
              <w:t>E：17.12.05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Times New Roman" w:hAnsi="Times New Roman" w:eastAsia="宋体" w:cs="Times New Roman"/>
              </w:rPr>
            </w:pPr>
            <w:r>
              <w:rPr>
                <w:rFonts w:ascii="Times New Roman" w:hAnsi="Times New Roman" w:eastAsia="宋体" w:cs="Times New Roman"/>
              </w:rPr>
              <w:t>幕墙装饰铝单板、铝天花板的生产所涉及场所的相关职业健康安全管理活动</w:t>
            </w:r>
          </w:p>
        </w:tc>
        <w:tc>
          <w:tcPr>
            <w:tcW w:w="2006" w:type="dxa"/>
            <w:gridSpan w:val="3"/>
            <w:vAlign w:val="center"/>
          </w:tcPr>
          <w:p>
            <w:pPr>
              <w:rPr>
                <w:rFonts w:ascii="Times New Roman" w:hAnsi="Times New Roman" w:eastAsia="宋体" w:cs="Times New Roman"/>
              </w:rPr>
            </w:pPr>
            <w:r>
              <w:rPr>
                <w:rFonts w:ascii="Times New Roman" w:hAnsi="Times New Roman" w:eastAsia="宋体" w:cs="Times New Roman"/>
              </w:rP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3"/>
        <w:gridCol w:w="131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15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1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重庆西友新型墙体材料有限公司</w:t>
            </w:r>
            <w:r>
              <w:rPr>
                <w:rFonts w:hint="eastAsia"/>
                <w:sz w:val="21"/>
                <w:szCs w:val="21"/>
                <w:lang w:val="en-US" w:eastAsia="zh-CN"/>
              </w:rPr>
              <w:t>/</w:t>
            </w:r>
            <w:r>
              <w:rPr>
                <w:sz w:val="21"/>
                <w:szCs w:val="21"/>
              </w:rPr>
              <w:t>重庆市南川区工业园区流金路</w:t>
            </w:r>
          </w:p>
        </w:tc>
        <w:tc>
          <w:tcPr>
            <w:tcW w:w="2267" w:type="dxa"/>
          </w:tcPr>
          <w:p>
            <w:pPr>
              <w:spacing w:before="40" w:after="40"/>
              <w:rPr>
                <w:rFonts w:eastAsia="黑体"/>
                <w:szCs w:val="21"/>
                <w:lang w:val="de-DE" w:eastAsia="ja-JP"/>
              </w:rPr>
            </w:pPr>
            <w:r>
              <w:rPr>
                <w:sz w:val="21"/>
                <w:szCs w:val="21"/>
              </w:rPr>
              <w:t>重庆市南川区工业园区流金路2号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96</w:t>
            </w:r>
          </w:p>
        </w:tc>
        <w:tc>
          <w:tcPr>
            <w:tcW w:w="2153" w:type="dxa"/>
            <w:vAlign w:val="center"/>
          </w:tcPr>
          <w:p>
            <w:r>
              <w:t>Q：幕墙装饰铝单板、铝天花板的生产</w:t>
            </w:r>
          </w:p>
          <w:p>
            <w:r>
              <w:t>E：幕墙装饰铝单板、铝天花板的生产所涉及场所的相关环境管理活动</w:t>
            </w:r>
          </w:p>
          <w:p>
            <w:pPr>
              <w:pStyle w:val="21"/>
              <w:rPr>
                <w:rFonts w:eastAsia="黑体" w:cs="Arial"/>
                <w:sz w:val="21"/>
                <w:szCs w:val="21"/>
                <w:lang w:val="en-US" w:eastAsia="ja-JP"/>
              </w:rPr>
            </w:pPr>
            <w:r>
              <w:t>O：幕墙装饰铝单板、铝天花板的生产所涉及场所的相关职业健康安全管理活动</w:t>
            </w:r>
          </w:p>
        </w:tc>
        <w:tc>
          <w:tcPr>
            <w:tcW w:w="1319" w:type="dxa"/>
            <w:vAlign w:val="center"/>
          </w:tcPr>
          <w:p>
            <w:pPr>
              <w:spacing w:before="40" w:after="40"/>
              <w:rPr>
                <w:rFonts w:hint="eastAsia" w:ascii="Times New Roman" w:hAnsi="Times New Roman" w:eastAsia="宋体"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eastAsia="宋体" w:cs="Times New Roman"/>
                <w:kern w:val="2"/>
                <w:sz w:val="20"/>
                <w:szCs w:val="20"/>
                <w:lang w:val="en-US" w:eastAsia="zh-CN" w:bidi="ar-SA"/>
              </w:rPr>
              <w:t>；</w:t>
            </w:r>
          </w:p>
          <w:p>
            <w:pPr>
              <w:spacing w:before="40" w:after="40"/>
              <w:rPr>
                <w:rFonts w:hint="eastAsia" w:ascii="Times New Roman" w:hAnsi="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3" w:type="dxa"/>
            <w:vAlign w:val="center"/>
          </w:tcPr>
          <w:p>
            <w:pPr>
              <w:spacing w:before="40" w:after="40"/>
              <w:rPr>
                <w:rFonts w:eastAsia="黑体"/>
                <w:szCs w:val="21"/>
                <w:lang w:eastAsia="ja-JP"/>
              </w:rPr>
            </w:pPr>
          </w:p>
        </w:tc>
        <w:tc>
          <w:tcPr>
            <w:tcW w:w="131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3" w:type="dxa"/>
            <w:vAlign w:val="center"/>
          </w:tcPr>
          <w:p>
            <w:pPr>
              <w:spacing w:before="40" w:after="40"/>
              <w:rPr>
                <w:rFonts w:eastAsia="黑体"/>
                <w:szCs w:val="21"/>
                <w:lang w:eastAsia="ja-JP"/>
              </w:rPr>
            </w:pPr>
          </w:p>
        </w:tc>
        <w:tc>
          <w:tcPr>
            <w:tcW w:w="131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3" w:type="dxa"/>
            <w:vAlign w:val="center"/>
          </w:tcPr>
          <w:p>
            <w:pPr>
              <w:spacing w:before="40" w:after="40"/>
              <w:rPr>
                <w:rFonts w:eastAsia="黑体"/>
                <w:szCs w:val="21"/>
                <w:lang w:eastAsia="ja-JP"/>
              </w:rPr>
            </w:pPr>
          </w:p>
        </w:tc>
        <w:tc>
          <w:tcPr>
            <w:tcW w:w="131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3" w:type="dxa"/>
            <w:vAlign w:val="center"/>
          </w:tcPr>
          <w:p>
            <w:pPr>
              <w:spacing w:before="40" w:after="40"/>
              <w:rPr>
                <w:rFonts w:eastAsia="黑体"/>
                <w:szCs w:val="21"/>
                <w:lang w:eastAsia="ja-JP"/>
              </w:rPr>
            </w:pPr>
          </w:p>
        </w:tc>
        <w:tc>
          <w:tcPr>
            <w:tcW w:w="131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kern w:val="2"/>
                <w:sz w:val="21"/>
                <w:szCs w:val="21"/>
                <w:highlight w:val="green"/>
                <w:lang w:val="en-US" w:eastAsia="zh-CN" w:bidi="ar-SA"/>
              </w:rPr>
            </w:pPr>
            <w:r>
              <w:rPr>
                <w:rFonts w:hint="eastAsia" w:ascii="宋体" w:hAnsi="宋体" w:eastAsia="宋体" w:cs="Times New Roman"/>
                <w:b/>
                <w:color w:val="000000"/>
                <w:kern w:val="2"/>
                <w:sz w:val="21"/>
                <w:szCs w:val="21"/>
                <w:highlight w:val="none"/>
                <w:lang w:val="en-US" w:eastAsia="zh-CN" w:bidi="ar-SA"/>
              </w:rPr>
              <w:t>11.已根据策划和标准要求于</w:t>
            </w:r>
            <w:r>
              <w:rPr>
                <w:rFonts w:hint="eastAsia" w:ascii="宋体" w:hAnsi="宋体"/>
                <w:b/>
                <w:color w:val="000000"/>
                <w:szCs w:val="21"/>
                <w:highlight w:val="none"/>
                <w:u w:val="single"/>
                <w:lang w:val="en-US" w:eastAsia="zh-CN"/>
              </w:rPr>
              <w:t>2022年6</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日</w:t>
            </w:r>
            <w:r>
              <w:rPr>
                <w:rFonts w:hint="eastAsia" w:ascii="宋体" w:hAnsi="宋体"/>
                <w:b/>
                <w:color w:val="000000"/>
                <w:szCs w:val="21"/>
                <w:highlight w:val="none"/>
                <w:u w:val="single"/>
                <w:lang w:val="en-US" w:eastAsia="zh-CN"/>
              </w:rPr>
              <w:t>-8日</w:t>
            </w:r>
            <w:r>
              <w:rPr>
                <w:rFonts w:hint="eastAsia" w:ascii="宋体" w:hAnsi="宋体" w:eastAsia="宋体" w:cs="Times New Roman"/>
                <w:b/>
                <w:color w:val="000000"/>
                <w:kern w:val="2"/>
                <w:sz w:val="21"/>
                <w:szCs w:val="21"/>
                <w:highlight w:val="none"/>
                <w:lang w:val="en-US" w:eastAsia="zh-CN" w:bidi="ar-SA"/>
              </w:rPr>
              <w:t>由有能力的人实施了内部审核，覆盖所有场所、部门和过程，</w:t>
            </w:r>
            <w:r>
              <w:rPr>
                <w:rFonts w:hint="eastAsia" w:ascii="宋体" w:hAnsi="宋体" w:eastAsia="宋体" w:cs="Times New Roman"/>
                <w:b/>
                <w:color w:val="000000"/>
                <w:kern w:val="2"/>
                <w:sz w:val="21"/>
                <w:szCs w:val="21"/>
                <w:highlight w:val="none"/>
                <w:lang w:val="en-GB" w:eastAsia="zh-CN" w:bidi="ar-SA"/>
              </w:rPr>
              <w:t>组织通过内审验证了管理体系的</w:t>
            </w:r>
            <w:r>
              <w:rPr>
                <w:rFonts w:hint="eastAsia" w:ascii="宋体" w:hAnsi="宋体" w:eastAsia="宋体" w:cs="Times New Roman"/>
                <w:b/>
                <w:color w:val="000000"/>
                <w:kern w:val="2"/>
                <w:sz w:val="21"/>
                <w:szCs w:val="21"/>
                <w:highlight w:val="none"/>
                <w:lang w:val="en-US" w:eastAsia="zh-CN" w:bidi="ar-SA"/>
              </w:rPr>
              <w:t>符合性</w:t>
            </w:r>
            <w:r>
              <w:rPr>
                <w:rFonts w:hint="eastAsia" w:ascii="宋体" w:hAnsi="宋体" w:eastAsia="宋体" w:cs="Times New Roman"/>
                <w:b/>
                <w:color w:val="000000"/>
                <w:kern w:val="2"/>
                <w:sz w:val="21"/>
                <w:szCs w:val="21"/>
                <w:highlight w:val="none"/>
                <w:lang w:val="en-GB" w:eastAsia="zh-CN" w:bidi="ar-SA"/>
              </w:rPr>
              <w:t>及有效性，</w:t>
            </w:r>
            <w:r>
              <w:rPr>
                <w:rFonts w:hint="eastAsia" w:ascii="宋体" w:hAnsi="宋体" w:eastAsia="宋体" w:cs="Times New Roman"/>
                <w:b/>
                <w:color w:val="000000"/>
                <w:kern w:val="2"/>
                <w:sz w:val="21"/>
                <w:szCs w:val="21"/>
                <w:highlight w:val="none"/>
                <w:lang w:val="en-US" w:eastAsia="zh-CN" w:bidi="ar-SA"/>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hint="eastAsia" w:ascii="宋体" w:hAnsi="宋体" w:eastAsia="宋体"/>
                <w:color w:val="000000"/>
                <w:sz w:val="21"/>
                <w:szCs w:val="21"/>
                <w:highlight w:val="green"/>
                <w:lang w:val="en-GB" w:eastAsia="zh-CN"/>
              </w:rPr>
            </w:pPr>
            <w:r>
              <w:rPr>
                <w:rFonts w:hint="eastAsia" w:ascii="宋体" w:hAnsi="宋体" w:eastAsia="宋体"/>
                <w:color w:val="000000"/>
                <w:sz w:val="21"/>
                <w:szCs w:val="21"/>
                <w:highlight w:val="none"/>
                <w:lang w:val="en-US" w:eastAsia="zh-CN"/>
              </w:rPr>
              <w:t xml:space="preserve">12.已根据策划于 </w:t>
            </w:r>
            <w:r>
              <w:rPr>
                <w:rFonts w:hint="eastAsia" w:ascii="宋体" w:hAnsi="宋体" w:eastAsia="宋体" w:cs="Times New Roman"/>
                <w:b/>
                <w:color w:val="000000"/>
                <w:kern w:val="2"/>
                <w:sz w:val="21"/>
                <w:szCs w:val="21"/>
                <w:highlight w:val="none"/>
                <w:u w:val="single"/>
                <w:lang w:val="en-US" w:eastAsia="zh-CN" w:bidi="ar-SA"/>
              </w:rPr>
              <w:t>202</w:t>
            </w:r>
            <w:r>
              <w:rPr>
                <w:rFonts w:hint="eastAsia" w:ascii="宋体" w:hAnsi="宋体" w:cs="Times New Roman"/>
                <w:b/>
                <w:color w:val="000000"/>
                <w:kern w:val="2"/>
                <w:sz w:val="21"/>
                <w:szCs w:val="21"/>
                <w:highlight w:val="none"/>
                <w:u w:val="single"/>
                <w:lang w:val="en-US" w:eastAsia="zh-CN" w:bidi="ar-SA"/>
              </w:rPr>
              <w:t>2</w:t>
            </w:r>
            <w:r>
              <w:rPr>
                <w:rFonts w:hint="eastAsia" w:ascii="宋体" w:hAnsi="宋体" w:eastAsia="宋体" w:cs="Times New Roman"/>
                <w:b/>
                <w:color w:val="000000"/>
                <w:kern w:val="2"/>
                <w:sz w:val="21"/>
                <w:szCs w:val="21"/>
                <w:highlight w:val="none"/>
                <w:u w:val="single"/>
                <w:lang w:val="en-US" w:eastAsia="zh-CN" w:bidi="ar-SA"/>
              </w:rPr>
              <w:t xml:space="preserve"> 年6月</w:t>
            </w:r>
            <w:r>
              <w:rPr>
                <w:rFonts w:hint="eastAsia" w:ascii="宋体" w:hAnsi="宋体" w:cs="Times New Roman"/>
                <w:b/>
                <w:color w:val="000000"/>
                <w:kern w:val="2"/>
                <w:sz w:val="21"/>
                <w:szCs w:val="21"/>
                <w:highlight w:val="none"/>
                <w:u w:val="single"/>
                <w:lang w:val="en-US" w:eastAsia="zh-CN" w:bidi="ar-SA"/>
              </w:rPr>
              <w:t>25</w:t>
            </w:r>
            <w:r>
              <w:rPr>
                <w:rFonts w:hint="eastAsia" w:ascii="宋体" w:hAnsi="宋体" w:eastAsia="宋体" w:cs="Times New Roman"/>
                <w:b/>
                <w:color w:val="000000"/>
                <w:kern w:val="2"/>
                <w:sz w:val="21"/>
                <w:szCs w:val="21"/>
                <w:highlight w:val="none"/>
                <w:u w:val="single"/>
                <w:lang w:val="en-US" w:eastAsia="zh-CN" w:bidi="ar-SA"/>
              </w:rPr>
              <w:t>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1537"/>
        <w:gridCol w:w="4089"/>
        <w:gridCol w:w="102"/>
        <w:gridCol w:w="274"/>
        <w:gridCol w:w="627"/>
        <w:gridCol w:w="162"/>
        <w:gridCol w:w="128"/>
        <w:gridCol w:w="150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12"/>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12"/>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6"/>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12"/>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gridSpan w:val="4"/>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zCs w:val="21"/>
              </w:rPr>
            </w:pP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gridSpan w:val="2"/>
            <w:shd w:val="clear" w:color="auto" w:fill="DBEEF3" w:themeFill="accent5" w:themeFillTint="32"/>
          </w:tcPr>
          <w:p>
            <w:pPr>
              <w:rPr>
                <w:rFonts w:ascii="宋体"/>
                <w:color w:val="000000"/>
                <w:spacing w:val="-10"/>
                <w:szCs w:val="21"/>
              </w:rPr>
            </w:pP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gridSpan w:val="4"/>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gridSpan w:val="2"/>
            <w:shd w:val="clear" w:color="auto" w:fill="DBEEF3" w:themeFill="accent5" w:themeFillTint="32"/>
          </w:tcPr>
          <w:p>
            <w:pPr>
              <w:rPr>
                <w:rFonts w:ascii="宋体"/>
                <w:color w:val="000000"/>
                <w:spacing w:val="-10"/>
                <w:szCs w:val="21"/>
                <w:highlight w:val="none"/>
              </w:rPr>
            </w:pPr>
          </w:p>
        </w:tc>
        <w:tc>
          <w:tcPr>
            <w:tcW w:w="1063" w:type="dxa"/>
            <w:gridSpan w:val="3"/>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gridSpan w:val="3"/>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gridSpan w:val="4"/>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gridSpan w:val="2"/>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gridSpan w:val="3"/>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 xml:space="preserve">是     </w:t>
            </w:r>
          </w:p>
        </w:tc>
        <w:tc>
          <w:tcPr>
            <w:tcW w:w="1637" w:type="dxa"/>
            <w:gridSpan w:val="3"/>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gridSpan w:val="4"/>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gridSpan w:val="2"/>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gridSpan w:val="3"/>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 xml:space="preserve">是     </w:t>
            </w:r>
          </w:p>
        </w:tc>
        <w:tc>
          <w:tcPr>
            <w:tcW w:w="1637" w:type="dxa"/>
            <w:gridSpan w:val="3"/>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gridSpan w:val="4"/>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12"/>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gridSpan w:val="3"/>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ind w:left="-1" w:leftChars="-1" w:hanging="1"/>
              <w:jc w:val="left"/>
              <w:rPr>
                <w:rFonts w:ascii="宋体"/>
                <w:color w:val="000000"/>
                <w:szCs w:val="21"/>
              </w:rPr>
            </w:pPr>
          </w:p>
        </w:tc>
        <w:tc>
          <w:tcPr>
            <w:tcW w:w="4191" w:type="dxa"/>
            <w:gridSpan w:val="2"/>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gridSpan w:val="4"/>
            <w:vMerge w:val="continue"/>
            <w:shd w:val="clear" w:color="auto" w:fill="DBEEF3" w:themeFill="accent5" w:themeFillTint="32"/>
          </w:tcPr>
          <w:p>
            <w:pPr>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ind w:left="168" w:leftChars="80"/>
              <w:rPr>
                <w:rFonts w:ascii="宋体"/>
                <w:color w:val="000000"/>
                <w:spacing w:val="-10"/>
                <w:szCs w:val="21"/>
              </w:rPr>
            </w:pPr>
          </w:p>
        </w:tc>
        <w:tc>
          <w:tcPr>
            <w:tcW w:w="4191" w:type="dxa"/>
            <w:gridSpan w:val="2"/>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rPr>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vMerge w:val="continue"/>
            <w:shd w:val="clear" w:color="auto" w:fill="DBEEF3" w:themeFill="accent5" w:themeFillTint="32"/>
          </w:tcPr>
          <w:p>
            <w:pPr>
              <w:rPr>
                <w:rFonts w:ascii="宋体" w:hAnsi="宋体"/>
                <w:color w:val="000000"/>
                <w:szCs w:val="21"/>
              </w:rPr>
            </w:pPr>
          </w:p>
        </w:tc>
        <w:tc>
          <w:tcPr>
            <w:tcW w:w="419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gridSpan w:val="4"/>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8"/>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55" w:type="dxa"/>
            <w:gridSpan w:val="11"/>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55" w:type="dxa"/>
            <w:gridSpan w:val="11"/>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09"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6"/>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highlight w:val="none"/>
              </w:rPr>
            </w:pPr>
            <w:r>
              <w:rPr>
                <w:rFonts w:hint="eastAsia" w:ascii="宋体" w:hAnsi="宋体"/>
                <w:color w:val="000000"/>
                <w:szCs w:val="21"/>
                <w:highlight w:val="none"/>
              </w:rPr>
              <w:t xml:space="preserve">（6）对特种设备是否按法规要求检测和备案且完好运行 </w:t>
            </w:r>
          </w:p>
        </w:tc>
        <w:tc>
          <w:tcPr>
            <w:tcW w:w="917" w:type="dxa"/>
            <w:gridSpan w:val="3"/>
            <w:shd w:val="clear" w:color="auto" w:fill="92D050"/>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509" w:type="dxa"/>
            <w:gridSpan w:val="2"/>
            <w:shd w:val="clear" w:color="auto" w:fill="92D050"/>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6"/>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3"/>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09"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26" w:type="dxa"/>
            <w:gridSpan w:val="5"/>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否  </w:t>
            </w:r>
            <w:r>
              <w:rPr>
                <w:rFonts w:hint="eastAsia" w:ascii="宋体" w:hAnsi="宋体"/>
                <w:color w:val="00000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26" w:type="dxa"/>
            <w:gridSpan w:val="5"/>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26" w:type="dxa"/>
            <w:gridSpan w:val="5"/>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5"/>
            <w:shd w:val="clear" w:color="auto" w:fill="92D050"/>
          </w:tcPr>
          <w:p>
            <w:pPr>
              <w:rPr>
                <w:rFonts w:ascii="宋体"/>
                <w:color w:val="000000"/>
                <w:szCs w:val="21"/>
              </w:rPr>
            </w:pPr>
            <w:r>
              <w:rPr>
                <w:rFonts w:hint="eastAsia" w:ascii="宋体"/>
                <w:color w:val="000000"/>
                <w:szCs w:val="21"/>
              </w:rPr>
              <w:t>是否受到环保主管部门的处罚</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color w:val="000000"/>
                <w:szCs w:val="21"/>
              </w:rPr>
              <w:t>是否因环保问题受到媒体的曝光</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5"/>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26" w:type="dxa"/>
            <w:gridSpan w:val="5"/>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67" w:type="dxa"/>
            <w:gridSpan w:val="10"/>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w:t>
            </w:r>
            <w:r>
              <w:rPr>
                <w:rFonts w:hint="eastAsia" w:ascii="宋体"/>
                <w:color w:val="000000"/>
                <w:spacing w:val="-10"/>
                <w:szCs w:val="21"/>
                <w:lang w:val="en-US" w:eastAsia="zh-CN"/>
              </w:rPr>
              <w:t>理</w:t>
            </w:r>
            <w:r>
              <w:rPr>
                <w:rFonts w:hint="eastAsia" w:ascii="宋体"/>
                <w:color w:val="000000"/>
                <w:spacing w:val="-10"/>
                <w:szCs w:val="21"/>
              </w:rPr>
              <w:t>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11"/>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11"/>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5"/>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3"/>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3"/>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802" w:type="dxa"/>
            <w:gridSpan w:val="7"/>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802" w:type="dxa"/>
            <w:gridSpan w:val="7"/>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highlight w:val="none"/>
              </w:rPr>
            </w:pPr>
            <w:r>
              <w:rPr>
                <w:rFonts w:hint="eastAsia" w:ascii="宋体"/>
                <w:color w:val="000000"/>
                <w:szCs w:val="21"/>
                <w:highlight w:val="none"/>
              </w:rPr>
              <w:t>是否有消防验收报告/备案登记</w:t>
            </w:r>
          </w:p>
        </w:tc>
        <w:tc>
          <w:tcPr>
            <w:tcW w:w="2802" w:type="dxa"/>
            <w:gridSpan w:val="7"/>
            <w:shd w:val="clear" w:color="auto" w:fill="FFFF0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highlight w:val="none"/>
              </w:rPr>
            </w:pPr>
            <w:r>
              <w:rPr>
                <w:rFonts w:hint="eastAsia" w:ascii="宋体"/>
                <w:color w:val="000000"/>
                <w:szCs w:val="21"/>
                <w:highlight w:val="none"/>
              </w:rPr>
              <w:t xml:space="preserve">是否提供近一年的作业场所有害物质监测报告                  </w:t>
            </w:r>
          </w:p>
        </w:tc>
        <w:tc>
          <w:tcPr>
            <w:tcW w:w="2802" w:type="dxa"/>
            <w:gridSpan w:val="7"/>
            <w:shd w:val="clear" w:color="auto" w:fill="FFFF00"/>
          </w:tcPr>
          <w:p>
            <w:pPr>
              <w:rPr>
                <w:rFonts w:ascii="宋体"/>
                <w:color w:val="00000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hint="eastAsia" w:ascii="宋体" w:hAnsi="宋体"/>
                <w:color w:val="000000"/>
                <w:szCs w:val="21"/>
              </w:rPr>
            </w:pPr>
            <w:r>
              <w:rPr>
                <w:rFonts w:hint="eastAsia" w:ascii="宋体" w:hAnsi="宋体"/>
                <w:color w:val="000000"/>
                <w:szCs w:val="21"/>
              </w:rPr>
              <w:t xml:space="preserve">是否提供近一年的职业健康体检报告                  </w:t>
            </w:r>
          </w:p>
        </w:tc>
        <w:tc>
          <w:tcPr>
            <w:tcW w:w="2802" w:type="dxa"/>
            <w:gridSpan w:val="7"/>
            <w:shd w:val="clear" w:color="auto" w:fill="FFFF00"/>
          </w:tcPr>
          <w:p>
            <w:pPr>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802" w:type="dxa"/>
            <w:gridSpan w:val="7"/>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28" w:type="dxa"/>
            <w:gridSpan w:val="9"/>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2022-08-1</w:t>
            </w:r>
            <w:bookmarkEnd w:id="37"/>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highlight w:val="none"/>
                <w:lang w:val="en-US" w:eastAsia="zh-CN" w:bidi="ar-SA"/>
              </w:rPr>
            </w:pPr>
            <w:r>
              <w:rPr>
                <w:rFonts w:hint="eastAsia" w:ascii="宋体" w:hAnsi="宋体"/>
                <w:b/>
                <w:color w:val="000000"/>
                <w:szCs w:val="21"/>
                <w:highlight w:val="none"/>
                <w:lang w:eastAsia="zh-CN"/>
              </w:rPr>
              <w:t>□</w:t>
            </w:r>
            <w:r>
              <w:rPr>
                <w:rFonts w:hint="eastAsia" w:ascii="宋体" w:hAnsi="宋体"/>
                <w:b/>
                <w:color w:val="000000"/>
                <w:szCs w:val="21"/>
                <w:highlight w:val="none"/>
              </w:rPr>
              <w:t>未发现任何问题,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幕墙装饰铝单板、铝天花板的生产</w:t>
            </w:r>
          </w:p>
        </w:tc>
        <w:tc>
          <w:tcPr>
            <w:tcW w:w="1541" w:type="dxa"/>
            <w:vAlign w:val="center"/>
          </w:tcPr>
          <w:p>
            <w:pPr>
              <w:rPr>
                <w:rFonts w:ascii="宋体" w:hAnsi="宋体"/>
                <w:b/>
                <w:color w:val="000000"/>
                <w:szCs w:val="21"/>
              </w:rPr>
            </w:pPr>
            <w:r>
              <w:t>Q：17.12.05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rFonts w:ascii="Times New Roman" w:hAnsi="Times New Roman" w:eastAsia="宋体" w:cs="Times New Roman"/>
              </w:rPr>
              <w:t>幕墙装饰铝单板、铝天花板的生产所涉及场所的相关环境管理活动</w:t>
            </w:r>
          </w:p>
        </w:tc>
        <w:tc>
          <w:tcPr>
            <w:tcW w:w="1541" w:type="dxa"/>
            <w:vAlign w:val="center"/>
          </w:tcPr>
          <w:p>
            <w:pPr>
              <w:rPr>
                <w:rFonts w:ascii="宋体" w:hAnsi="宋体"/>
                <w:b/>
                <w:color w:val="000000"/>
                <w:szCs w:val="21"/>
              </w:rPr>
            </w:pPr>
            <w:r>
              <w:rPr>
                <w:rFonts w:ascii="Times New Roman" w:hAnsi="Times New Roman" w:eastAsia="宋体" w:cs="Times New Roman"/>
              </w:rPr>
              <w:t>E：17.12.05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rPr>
                <w:rFonts w:ascii="宋体" w:hAnsi="宋体"/>
                <w:b/>
                <w:color w:val="000000"/>
                <w:szCs w:val="21"/>
              </w:rPr>
            </w:pPr>
            <w:r>
              <w:rPr>
                <w:rFonts w:ascii="Times New Roman" w:hAnsi="Times New Roman" w:eastAsia="宋体" w:cs="Times New Roman"/>
              </w:rPr>
              <w:t>幕墙装饰铝单板、铝天花板的生产所涉及场所的相关职业健康安全管理活动</w:t>
            </w:r>
          </w:p>
        </w:tc>
        <w:tc>
          <w:tcPr>
            <w:tcW w:w="1541" w:type="dxa"/>
            <w:vAlign w:val="center"/>
          </w:tcPr>
          <w:p>
            <w:pPr>
              <w:rPr>
                <w:rFonts w:ascii="宋体" w:hAnsi="宋体"/>
                <w:b/>
                <w:color w:val="000000"/>
                <w:szCs w:val="21"/>
              </w:rPr>
            </w:pPr>
            <w:r>
              <w:rPr>
                <w:rFonts w:ascii="Times New Roman" w:hAnsi="Times New Roman" w:eastAsia="宋体" w:cs="Times New Roman"/>
              </w:rP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5036820</wp:posOffset>
            </wp:positionH>
            <wp:positionV relativeFrom="paragraph">
              <wp:posOffset>349250</wp:posOffset>
            </wp:positionV>
            <wp:extent cx="762635" cy="380365"/>
            <wp:effectExtent l="0" t="0" r="18415" b="6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6"/>
                    <a:srcRect l="10377" t="24118" r="4335" b="17353"/>
                    <a:stretch>
                      <a:fillRect/>
                    </a:stretch>
                  </pic:blipFill>
                  <pic:spPr>
                    <a:xfrm>
                      <a:off x="0" y="0"/>
                      <a:ext cx="762635" cy="38036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4389120</wp:posOffset>
            </wp:positionH>
            <wp:positionV relativeFrom="paragraph">
              <wp:posOffset>322580</wp:posOffset>
            </wp:positionV>
            <wp:extent cx="469900" cy="395605"/>
            <wp:effectExtent l="0" t="0" r="6350" b="4445"/>
            <wp:wrapNone/>
            <wp:docPr id="2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5cd665cf2cf133a499ed811c6806d9"/>
                    <pic:cNvPicPr>
                      <a:picLocks noChangeAspect="1"/>
                    </pic:cNvPicPr>
                  </pic:nvPicPr>
                  <pic:blipFill>
                    <a:blip r:embed="rId7"/>
                    <a:stretch>
                      <a:fillRect/>
                    </a:stretch>
                  </pic:blipFill>
                  <pic:spPr>
                    <a:xfrm>
                      <a:off x="0" y="0"/>
                      <a:ext cx="469900" cy="39560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1820545</wp:posOffset>
            </wp:positionH>
            <wp:positionV relativeFrom="paragraph">
              <wp:posOffset>354330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2022年8月18日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重庆西友新型墙体材料有限公司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70"/>
        <w:gridCol w:w="2410"/>
        <w:gridCol w:w="128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8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2"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58" w:type="dxa"/>
            <w:gridSpan w:val="2"/>
            <w:vAlign w:val="center"/>
          </w:tcPr>
          <w:p>
            <w:pPr>
              <w:pStyle w:val="8"/>
              <w:numPr>
                <w:ilvl w:val="0"/>
                <w:numId w:val="3"/>
              </w:numPr>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提供的膜厚仪、千分尺、钢卷尺校准证书有效期已过；</w:t>
            </w:r>
          </w:p>
          <w:p>
            <w:pPr>
              <w:pStyle w:val="8"/>
              <w:numPr>
                <w:ilvl w:val="0"/>
                <w:numId w:val="0"/>
              </w:numPr>
              <w:pBdr>
                <w:bottom w:val="none" w:color="auto" w:sz="0" w:space="0"/>
              </w:pBdr>
              <w:tabs>
                <w:tab w:val="center" w:pos="5737"/>
                <w:tab w:val="clear" w:pos="4153"/>
              </w:tabs>
              <w:jc w:val="both"/>
              <w:rPr>
                <w:rFonts w:hint="default"/>
                <w:color w:val="000000"/>
                <w:sz w:val="21"/>
                <w:szCs w:val="21"/>
                <w:lang w:val="en-US" w:eastAsia="zh-CN"/>
              </w:rPr>
            </w:pPr>
          </w:p>
        </w:tc>
        <w:tc>
          <w:tcPr>
            <w:tcW w:w="2410" w:type="dxa"/>
            <w:vAlign w:val="center"/>
          </w:tcPr>
          <w:p>
            <w:pPr>
              <w:pStyle w:val="8"/>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jc w:val="both"/>
              <w:textAlignment w:val="auto"/>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GB/T19001-2016</w:t>
            </w:r>
          </w:p>
        </w:tc>
        <w:tc>
          <w:tcPr>
            <w:tcW w:w="1280" w:type="dxa"/>
            <w:vAlign w:val="center"/>
          </w:tcPr>
          <w:p>
            <w:pPr>
              <w:pStyle w:val="8"/>
              <w:pBdr>
                <w:bottom w:val="none" w:color="auto" w:sz="0" w:space="0"/>
              </w:pBdr>
              <w:ind w:right="600"/>
              <w:jc w:val="both"/>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7.1.5</w:t>
            </w:r>
          </w:p>
        </w:tc>
        <w:tc>
          <w:tcPr>
            <w:tcW w:w="932"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ascii="Times New Roman" w:hAnsi="Times New Roman" w:eastAsia="宋体" w:cs="Times New Roman"/>
                <w:b/>
                <w:bCs/>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558" w:type="dxa"/>
            <w:gridSpan w:val="2"/>
            <w:vAlign w:val="center"/>
          </w:tcPr>
          <w:p>
            <w:pPr>
              <w:snapToGrid w:val="0"/>
              <w:spacing w:line="280" w:lineRule="exact"/>
              <w:rPr>
                <w:rFonts w:hint="eastAsia" w:ascii="Calibri" w:hAnsi="Calibri" w:eastAsia="宋体" w:cs="Times New Roman"/>
                <w:color w:val="000000"/>
                <w:kern w:val="2"/>
                <w:sz w:val="21"/>
                <w:szCs w:val="21"/>
                <w:lang w:val="en-US" w:eastAsia="zh-CN" w:bidi="ar-SA"/>
              </w:rPr>
            </w:pPr>
            <w:r>
              <w:rPr>
                <w:rFonts w:hint="eastAsia" w:ascii="Calibri" w:hAnsi="Calibri" w:cs="Times New Roman"/>
                <w:color w:val="000000"/>
                <w:kern w:val="2"/>
                <w:sz w:val="21"/>
                <w:szCs w:val="21"/>
                <w:lang w:val="en-US" w:eastAsia="zh-CN" w:bidi="ar-SA"/>
              </w:rPr>
              <w:t>1</w:t>
            </w:r>
            <w:r>
              <w:rPr>
                <w:rFonts w:hint="eastAsia" w:ascii="Calibri" w:hAnsi="Calibri" w:eastAsia="宋体" w:cs="Times New Roman"/>
                <w:color w:val="000000"/>
                <w:kern w:val="2"/>
                <w:sz w:val="21"/>
                <w:szCs w:val="21"/>
                <w:lang w:val="en-US" w:eastAsia="zh-CN" w:bidi="ar-SA"/>
              </w:rPr>
              <w:t>）安装在储气罐上的压力表、安全阀未提供检定或校准证实；</w:t>
            </w:r>
          </w:p>
          <w:p>
            <w:pPr>
              <w:snapToGrid w:val="0"/>
              <w:spacing w:line="280" w:lineRule="exact"/>
              <w:rPr>
                <w:rFonts w:hint="default" w:ascii="Calibri" w:hAnsi="Calibri" w:eastAsia="宋体" w:cs="Times New Roman"/>
                <w:color w:val="000000"/>
                <w:kern w:val="2"/>
                <w:sz w:val="21"/>
                <w:szCs w:val="21"/>
                <w:lang w:val="en-US" w:eastAsia="zh-CN" w:bidi="ar-SA"/>
              </w:rPr>
            </w:pPr>
            <w:r>
              <w:rPr>
                <w:rFonts w:hint="eastAsia" w:ascii="Calibri" w:hAnsi="Calibri" w:cs="Times New Roman"/>
                <w:color w:val="000000"/>
                <w:kern w:val="2"/>
                <w:sz w:val="21"/>
                <w:szCs w:val="21"/>
                <w:lang w:val="en-US" w:eastAsia="zh-CN" w:bidi="ar-SA"/>
              </w:rPr>
              <w:t>2</w:t>
            </w:r>
            <w:r>
              <w:rPr>
                <w:rFonts w:hint="eastAsia" w:ascii="Calibri" w:hAnsi="Calibri" w:eastAsia="宋体" w:cs="Times New Roman"/>
                <w:color w:val="000000"/>
                <w:kern w:val="2"/>
                <w:sz w:val="21"/>
                <w:szCs w:val="21"/>
                <w:lang w:val="en-US" w:eastAsia="zh-CN" w:bidi="ar-SA"/>
              </w:rPr>
              <w:t>）用于监测</w:t>
            </w:r>
            <w:bookmarkStart w:id="38" w:name="_GoBack"/>
            <w:bookmarkEnd w:id="38"/>
            <w:r>
              <w:rPr>
                <w:rFonts w:hint="eastAsia" w:ascii="Calibri" w:hAnsi="Calibri" w:eastAsia="宋体" w:cs="Times New Roman"/>
                <w:color w:val="000000"/>
                <w:kern w:val="2"/>
                <w:sz w:val="21"/>
                <w:szCs w:val="21"/>
                <w:lang w:val="en-US" w:eastAsia="zh-CN" w:bidi="ar-SA"/>
              </w:rPr>
              <w:t>天然气泄漏的可燃气体报警器未按照要求按期实施校准。</w:t>
            </w:r>
          </w:p>
          <w:p>
            <w:pPr>
              <w:pStyle w:val="8"/>
              <w:pBdr>
                <w:bottom w:val="none" w:color="auto" w:sz="0" w:space="0"/>
              </w:pBdr>
              <w:tabs>
                <w:tab w:val="center" w:pos="5737"/>
                <w:tab w:val="clear" w:pos="4153"/>
              </w:tabs>
              <w:jc w:val="both"/>
              <w:rPr>
                <w:color w:val="000000"/>
                <w:sz w:val="21"/>
                <w:szCs w:val="21"/>
              </w:rPr>
            </w:pPr>
          </w:p>
        </w:tc>
        <w:tc>
          <w:tcPr>
            <w:tcW w:w="2410" w:type="dxa"/>
            <w:vAlign w:val="center"/>
          </w:tcPr>
          <w:p>
            <w:pPr>
              <w:pStyle w:val="8"/>
              <w:keepNext w:val="0"/>
              <w:keepLines w:val="0"/>
              <w:pageBreakBefore w:val="0"/>
              <w:widowControl w:val="0"/>
              <w:pBdr>
                <w:bottom w:val="none" w:color="auto" w:sz="0" w:space="0"/>
              </w:pBdr>
              <w:kinsoku/>
              <w:wordWrap/>
              <w:overflowPunct/>
              <w:topLinePunct w:val="0"/>
              <w:autoSpaceDE/>
              <w:autoSpaceDN/>
              <w:bidi w:val="0"/>
              <w:adjustRightInd/>
              <w:snapToGrid w:val="0"/>
              <w:spacing w:line="360" w:lineRule="auto"/>
              <w:ind w:right="601" w:rightChars="0"/>
              <w:jc w:val="both"/>
              <w:textAlignment w:val="auto"/>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GB/T</w:t>
            </w:r>
            <w:r>
              <w:rPr>
                <w:rFonts w:hint="eastAsia" w:ascii="Times New Roman" w:hAnsi="Times New Roman" w:cs="Times New Roman"/>
                <w:b/>
                <w:bCs/>
                <w:color w:val="000000"/>
                <w:kern w:val="2"/>
                <w:sz w:val="21"/>
                <w:szCs w:val="21"/>
                <w:lang w:val="en-US" w:eastAsia="zh-CN" w:bidi="ar-SA"/>
              </w:rPr>
              <w:t>45</w:t>
            </w:r>
            <w:r>
              <w:rPr>
                <w:rFonts w:hint="eastAsia" w:ascii="Times New Roman" w:hAnsi="Times New Roman" w:eastAsia="宋体" w:cs="Times New Roman"/>
                <w:b/>
                <w:bCs/>
                <w:color w:val="000000"/>
                <w:kern w:val="2"/>
                <w:sz w:val="21"/>
                <w:szCs w:val="21"/>
                <w:lang w:val="en-US" w:eastAsia="zh-CN" w:bidi="ar-SA"/>
              </w:rPr>
              <w:t>001-20</w:t>
            </w:r>
            <w:r>
              <w:rPr>
                <w:rFonts w:hint="eastAsia" w:ascii="Times New Roman" w:hAnsi="Times New Roman" w:cs="Times New Roman"/>
                <w:b/>
                <w:bCs/>
                <w:color w:val="000000"/>
                <w:kern w:val="2"/>
                <w:sz w:val="21"/>
                <w:szCs w:val="21"/>
                <w:lang w:val="en-US" w:eastAsia="zh-CN" w:bidi="ar-SA"/>
              </w:rPr>
              <w:t>20</w:t>
            </w:r>
          </w:p>
        </w:tc>
        <w:tc>
          <w:tcPr>
            <w:tcW w:w="1280" w:type="dxa"/>
            <w:vAlign w:val="center"/>
          </w:tcPr>
          <w:p>
            <w:pPr>
              <w:pStyle w:val="8"/>
              <w:pBdr>
                <w:bottom w:val="none" w:color="auto" w:sz="0" w:space="0"/>
              </w:pBdr>
              <w:ind w:right="600" w:rightChars="0"/>
              <w:jc w:val="both"/>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9.1.1</w:t>
            </w:r>
          </w:p>
        </w:tc>
        <w:tc>
          <w:tcPr>
            <w:tcW w:w="932"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10" w:type="dxa"/>
            <w:vAlign w:val="center"/>
          </w:tcPr>
          <w:p>
            <w:pPr>
              <w:pStyle w:val="8"/>
              <w:pBdr>
                <w:bottom w:val="none" w:color="auto" w:sz="0" w:space="0"/>
              </w:pBdr>
              <w:ind w:right="600"/>
              <w:jc w:val="both"/>
              <w:rPr>
                <w:color w:val="000000"/>
                <w:sz w:val="21"/>
                <w:szCs w:val="21"/>
              </w:rPr>
            </w:pPr>
          </w:p>
        </w:tc>
        <w:tc>
          <w:tcPr>
            <w:tcW w:w="1280" w:type="dxa"/>
            <w:vAlign w:val="center"/>
          </w:tcPr>
          <w:p>
            <w:pPr>
              <w:pStyle w:val="8"/>
              <w:pBdr>
                <w:bottom w:val="none" w:color="auto" w:sz="0" w:space="0"/>
              </w:pBdr>
              <w:ind w:right="600"/>
              <w:jc w:val="both"/>
              <w:rPr>
                <w:color w:val="000000"/>
                <w:sz w:val="21"/>
                <w:szCs w:val="21"/>
              </w:rPr>
            </w:pPr>
          </w:p>
        </w:tc>
        <w:tc>
          <w:tcPr>
            <w:tcW w:w="932"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10" w:type="dxa"/>
            <w:vAlign w:val="center"/>
          </w:tcPr>
          <w:p>
            <w:pPr>
              <w:pStyle w:val="8"/>
              <w:pBdr>
                <w:bottom w:val="none" w:color="auto" w:sz="0" w:space="0"/>
              </w:pBdr>
              <w:ind w:right="600"/>
              <w:jc w:val="both"/>
              <w:rPr>
                <w:color w:val="000000"/>
                <w:sz w:val="21"/>
                <w:szCs w:val="21"/>
              </w:rPr>
            </w:pPr>
          </w:p>
        </w:tc>
        <w:tc>
          <w:tcPr>
            <w:tcW w:w="1280" w:type="dxa"/>
            <w:vAlign w:val="center"/>
          </w:tcPr>
          <w:p>
            <w:pPr>
              <w:pStyle w:val="8"/>
              <w:pBdr>
                <w:bottom w:val="none" w:color="auto" w:sz="0" w:space="0"/>
              </w:pBdr>
              <w:ind w:right="600"/>
              <w:jc w:val="both"/>
              <w:rPr>
                <w:color w:val="000000"/>
                <w:sz w:val="21"/>
                <w:szCs w:val="21"/>
              </w:rPr>
            </w:pPr>
          </w:p>
        </w:tc>
        <w:tc>
          <w:tcPr>
            <w:tcW w:w="932"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5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10" w:type="dxa"/>
            <w:vAlign w:val="center"/>
          </w:tcPr>
          <w:p>
            <w:pPr>
              <w:pStyle w:val="8"/>
              <w:pBdr>
                <w:bottom w:val="none" w:color="auto" w:sz="0" w:space="0"/>
              </w:pBdr>
              <w:ind w:right="600"/>
              <w:jc w:val="both"/>
              <w:rPr>
                <w:color w:val="000000"/>
                <w:sz w:val="21"/>
                <w:szCs w:val="21"/>
              </w:rPr>
            </w:pPr>
          </w:p>
        </w:tc>
        <w:tc>
          <w:tcPr>
            <w:tcW w:w="1280" w:type="dxa"/>
            <w:vAlign w:val="center"/>
          </w:tcPr>
          <w:p>
            <w:pPr>
              <w:pStyle w:val="8"/>
              <w:pBdr>
                <w:bottom w:val="none" w:color="auto" w:sz="0" w:space="0"/>
              </w:pBdr>
              <w:ind w:right="600"/>
              <w:jc w:val="both"/>
              <w:rPr>
                <w:color w:val="000000"/>
                <w:sz w:val="21"/>
                <w:szCs w:val="21"/>
              </w:rPr>
            </w:pPr>
          </w:p>
        </w:tc>
        <w:tc>
          <w:tcPr>
            <w:tcW w:w="932"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687705</wp:posOffset>
                  </wp:positionH>
                  <wp:positionV relativeFrom="paragraph">
                    <wp:posOffset>83185</wp:posOffset>
                  </wp:positionV>
                  <wp:extent cx="815340" cy="403860"/>
                  <wp:effectExtent l="0" t="0" r="3810" b="15240"/>
                  <wp:wrapNone/>
                  <wp:docPr id="9" name="图片 9"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vAlign w:val="top"/>
          </w:tcPr>
          <w:p>
            <w:pPr>
              <w:spacing w:line="280" w:lineRule="exact"/>
              <w:rPr>
                <w:rFonts w:hint="default"/>
                <w:b/>
                <w:color w:val="000000"/>
                <w:szCs w:val="21"/>
                <w:lang w:val="en-US"/>
              </w:rPr>
            </w:pPr>
            <w:r>
              <w:rPr>
                <w:rFonts w:hint="eastAsia"/>
                <w:b/>
                <w:color w:val="000000"/>
                <w:szCs w:val="21"/>
              </w:rPr>
              <w:t>受审核方代表</w:t>
            </w:r>
            <w:r>
              <w:rPr>
                <w:rFonts w:hint="eastAsia"/>
                <w:b/>
                <w:color w:val="000000"/>
                <w:szCs w:val="21"/>
                <w:lang w:eastAsia="zh-CN"/>
              </w:rPr>
              <w:t>：</w:t>
            </w:r>
            <w:r>
              <w:rPr>
                <w:sz w:val="21"/>
                <w:szCs w:val="21"/>
              </w:rPr>
              <w:t>施国生</w:t>
            </w:r>
          </w:p>
          <w:p>
            <w:pPr>
              <w:spacing w:line="280" w:lineRule="exact"/>
              <w:rPr>
                <w:rFonts w:hint="eastAsia"/>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504825</wp:posOffset>
                  </wp:positionH>
                  <wp:positionV relativeFrom="paragraph">
                    <wp:posOffset>91440</wp:posOffset>
                  </wp:positionV>
                  <wp:extent cx="815340" cy="403860"/>
                  <wp:effectExtent l="0" t="0" r="3810" b="15240"/>
                  <wp:wrapNone/>
                  <wp:docPr id="8" name="图片 8"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F224F772"/>
    <w:multiLevelType w:val="singleLevel"/>
    <w:tmpl w:val="F224F772"/>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97736D5"/>
    <w:rsid w:val="0AC856DB"/>
    <w:rsid w:val="1EC711E1"/>
    <w:rsid w:val="2E21341E"/>
    <w:rsid w:val="532B5250"/>
    <w:rsid w:val="56D61B67"/>
    <w:rsid w:val="5E2733FB"/>
    <w:rsid w:val="6AC56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5609</Words>
  <Characters>6431</Characters>
  <Lines>67</Lines>
  <Paragraphs>18</Paragraphs>
  <TotalTime>0</TotalTime>
  <ScaleCrop>false</ScaleCrop>
  <LinksUpToDate>false</LinksUpToDate>
  <CharactersWithSpaces>7128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2022-08-20T00:10:38Z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