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942</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河北汇成物业服务有限公司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河北汇成物业服务有限公司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河北省石家庄市桥西区中华南大街412号新石小区物业</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河北省石家庄市桥西区中华南大街412号新石小区物业</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陈颖</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18233116563</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任亚辉</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陈颖</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bCs/>
                <w:sz w:val="21"/>
                <w:szCs w:val="21"/>
              </w:rPr>
              <w:t>客户开发---项目评估---合同签订---进驻项目现场---</w:t>
            </w:r>
            <w:r>
              <w:rPr>
                <w:rFonts w:hint="eastAsia" w:ascii="楷体" w:hAnsi="楷体" w:eastAsia="楷体" w:cs="楷体"/>
                <w:bCs/>
                <w:sz w:val="21"/>
                <w:szCs w:val="21"/>
                <w:lang w:val="en-US" w:eastAsia="zh-CN"/>
              </w:rPr>
              <w:t>提供服务</w:t>
            </w:r>
            <w:r>
              <w:rPr>
                <w:rFonts w:hint="eastAsia" w:ascii="楷体" w:hAnsi="楷体" w:eastAsia="楷体" w:cs="楷体"/>
                <w:sz w:val="21"/>
                <w:szCs w:val="21"/>
              </w:rPr>
              <w:t>（</w:t>
            </w:r>
            <w:r>
              <w:rPr>
                <w:rFonts w:hint="eastAsia" w:ascii="宋体" w:hAnsi="宋体" w:cs="Times New Roman"/>
                <w:bCs/>
                <w:color w:val="000000"/>
                <w:szCs w:val="21"/>
                <w:lang w:val="en-US" w:eastAsia="zh-CN"/>
              </w:rPr>
              <w:t>保安、保洁、垃圾清运、维修、接待等</w:t>
            </w:r>
            <w:r>
              <w:rPr>
                <w:rFonts w:hint="eastAsia" w:ascii="楷体" w:hAnsi="楷体" w:eastAsia="楷体" w:cs="楷体"/>
                <w:sz w:val="21"/>
                <w:szCs w:val="21"/>
              </w:rPr>
              <w:t>）-----服务检查</w:t>
            </w:r>
            <w:r>
              <w:rPr>
                <w:rFonts w:hint="eastAsia" w:ascii="楷体" w:hAnsi="楷体" w:eastAsia="楷体" w:cs="楷体"/>
                <w:bCs/>
                <w:sz w:val="21"/>
                <w:szCs w:val="21"/>
              </w:rPr>
              <w:t>---客户满意调查</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2022年08月16日 上午至2022年08月17日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2"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0" w:name="生产地址"/>
            <w:r>
              <w:rPr>
                <w:rFonts w:hint="default" w:ascii="Times New Roman" w:hAnsi="Times New Roman" w:eastAsia="宋体" w:cs="Times New Roman"/>
                <w:b w:val="0"/>
                <w:bCs w:val="0"/>
                <w:sz w:val="21"/>
                <w:szCs w:val="21"/>
              </w:rPr>
              <w:t>河北省石家庄市桥西区中华南大街412号新石小区物业</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default" w:ascii="Times New Roman" w:hAnsi="Times New Roman" w:eastAsia="宋体" w:cs="Times New Roman"/>
                <w:b w:val="0"/>
                <w:bCs w:val="0"/>
                <w:sz w:val="21"/>
                <w:szCs w:val="21"/>
              </w:rPr>
            </w:pPr>
            <w:bookmarkStart w:id="21" w:name="审核范围"/>
            <w:r>
              <w:rPr>
                <w:rFonts w:hint="default" w:ascii="Times New Roman" w:hAnsi="Times New Roman" w:eastAsia="宋体" w:cs="Times New Roman"/>
                <w:b w:val="0"/>
                <w:bCs w:val="0"/>
                <w:sz w:val="21"/>
                <w:szCs w:val="21"/>
              </w:rPr>
              <w:t>Q：物业服务</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E：物业服务所涉及场所的相关环境管理活动</w:t>
            </w:r>
          </w:p>
          <w:p>
            <w:r>
              <w:rPr>
                <w:rFonts w:hint="default" w:ascii="Times New Roman" w:hAnsi="Times New Roman" w:eastAsia="宋体" w:cs="Times New Roman"/>
                <w:b w:val="0"/>
                <w:bCs w:val="0"/>
                <w:sz w:val="21"/>
                <w:szCs w:val="21"/>
              </w:rPr>
              <w:t>O：物业服务所涉及场所的相关职业健康安全管理活动</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2" w:name="专业代码"/>
            <w:r>
              <w:t>Q：35.15.00</w:t>
            </w:r>
          </w:p>
          <w:p>
            <w:r>
              <w:t>E：35.15.00</w:t>
            </w:r>
          </w:p>
          <w:p>
            <w:r>
              <w:t>O：35.15.00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26"/>
        <w:gridCol w:w="1708"/>
        <w:gridCol w:w="659"/>
        <w:gridCol w:w="1341"/>
        <w:gridCol w:w="204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826"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0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5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34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204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826" w:type="dxa"/>
          </w:tcPr>
          <w:p>
            <w:pPr>
              <w:spacing w:before="40" w:after="40"/>
              <w:rPr>
                <w:rFonts w:eastAsia="黑体"/>
                <w:szCs w:val="21"/>
                <w:lang w:val="de-DE" w:eastAsia="ja-JP"/>
              </w:rPr>
            </w:pPr>
            <w:r>
              <w:rPr>
                <w:rFonts w:hint="eastAsia" w:eastAsia="黑体"/>
                <w:szCs w:val="21"/>
                <w:lang w:val="de-DE" w:eastAsia="ja-JP"/>
              </w:rPr>
              <w:t>河北汇成物业服务有限公司</w:t>
            </w:r>
            <w:r>
              <w:rPr>
                <w:rFonts w:hint="eastAsia" w:eastAsia="黑体"/>
                <w:szCs w:val="21"/>
                <w:lang w:val="en-US" w:eastAsia="zh-CN"/>
              </w:rPr>
              <w:t>/</w:t>
            </w:r>
            <w:r>
              <w:rPr>
                <w:rFonts w:hint="eastAsia" w:eastAsia="黑体"/>
                <w:szCs w:val="21"/>
                <w:lang w:val="de-DE" w:eastAsia="ja-JP"/>
              </w:rPr>
              <w:t>河北省石家庄市桥西区中华南大街412号新石小区物业</w:t>
            </w:r>
          </w:p>
        </w:tc>
        <w:tc>
          <w:tcPr>
            <w:tcW w:w="1708" w:type="dxa"/>
          </w:tcPr>
          <w:p>
            <w:pPr>
              <w:spacing w:before="40" w:after="40"/>
              <w:rPr>
                <w:rFonts w:eastAsia="黑体"/>
                <w:szCs w:val="21"/>
                <w:lang w:val="de-DE" w:eastAsia="ja-JP"/>
              </w:rPr>
            </w:pPr>
            <w:r>
              <w:rPr>
                <w:rFonts w:hint="eastAsia" w:eastAsia="黑体"/>
                <w:szCs w:val="21"/>
                <w:lang w:val="de-DE" w:eastAsia="ja-JP"/>
              </w:rPr>
              <w:t>石家庄市桥西区中华南大街412号新石小区物业</w:t>
            </w:r>
          </w:p>
        </w:tc>
        <w:tc>
          <w:tcPr>
            <w:tcW w:w="659"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1341" w:type="dxa"/>
            <w:vAlign w:val="center"/>
          </w:tcPr>
          <w:p>
            <w:pPr>
              <w:pStyle w:val="21"/>
              <w:rPr>
                <w:rFonts w:eastAsia="黑体" w:cs="Arial"/>
                <w:sz w:val="21"/>
                <w:szCs w:val="21"/>
                <w:lang w:val="en-US" w:eastAsia="ja-JP"/>
              </w:rPr>
            </w:pPr>
            <w:r>
              <w:rPr>
                <w:sz w:val="21"/>
                <w:szCs w:val="21"/>
              </w:rPr>
              <w:t>物业服务</w:t>
            </w:r>
          </w:p>
        </w:tc>
        <w:tc>
          <w:tcPr>
            <w:tcW w:w="2043"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张会领</w:t>
            </w:r>
          </w:p>
        </w:tc>
        <w:tc>
          <w:tcPr>
            <w:tcW w:w="1089" w:type="dxa"/>
            <w:vAlign w:val="center"/>
          </w:tcPr>
          <w:p>
            <w:r>
              <w:t>组员</w:t>
            </w:r>
          </w:p>
        </w:tc>
        <w:tc>
          <w:tcPr>
            <w:tcW w:w="711" w:type="dxa"/>
            <w:vAlign w:val="center"/>
          </w:tcPr>
          <w:p>
            <w:r>
              <w:t>女</w:t>
            </w:r>
          </w:p>
        </w:tc>
        <w:tc>
          <w:tcPr>
            <w:tcW w:w="3870" w:type="dxa"/>
            <w:vAlign w:val="center"/>
          </w:tcPr>
          <w:p>
            <w:r>
              <w:t>ISC-JSZJ-175</w:t>
            </w:r>
          </w:p>
          <w:p>
            <w:r>
              <w:t>ISC-JSZJ-175</w:t>
            </w:r>
          </w:p>
          <w:p>
            <w:r>
              <w:t>ISC-JSZJ-175</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drawing>
                <wp:anchor distT="0" distB="0" distL="114300" distR="114300" simplePos="0" relativeHeight="251662336" behindDoc="0" locked="0" layoutInCell="1" allowOverlap="1">
                  <wp:simplePos x="0" y="0"/>
                  <wp:positionH relativeFrom="column">
                    <wp:posOffset>120015</wp:posOffset>
                  </wp:positionH>
                  <wp:positionV relativeFrom="paragraph">
                    <wp:posOffset>229235</wp:posOffset>
                  </wp:positionV>
                  <wp:extent cx="850265" cy="409575"/>
                  <wp:effectExtent l="0" t="0" r="0" b="0"/>
                  <wp:wrapNone/>
                  <wp:docPr id="6"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190904151347"/>
                          <pic:cNvPicPr>
                            <a:picLocks noChangeAspect="1"/>
                          </pic:cNvPicPr>
                        </pic:nvPicPr>
                        <pic:blipFill>
                          <a:blip r:embed="rId6"/>
                          <a:stretch>
                            <a:fillRect/>
                          </a:stretch>
                        </pic:blipFill>
                        <pic:spPr>
                          <a:xfrm>
                            <a:off x="0" y="0"/>
                            <a:ext cx="850265" cy="409575"/>
                          </a:xfrm>
                          <a:prstGeom prst="rect">
                            <a:avLst/>
                          </a:prstGeom>
                          <a:noFill/>
                          <a:ln>
                            <a:noFill/>
                          </a:ln>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楷体" w:hAnsi="楷体" w:eastAsia="楷体" w:cs="楷体"/>
                <w:sz w:val="21"/>
                <w:szCs w:val="21"/>
                <w:lang w:eastAsia="zh-CN"/>
              </w:rPr>
            </w:pPr>
            <w:r>
              <w:rPr>
                <w:rFonts w:hint="eastAsia" w:ascii="楷体" w:hAnsi="楷体" w:eastAsia="楷体" w:cs="楷体"/>
                <w:sz w:val="21"/>
                <w:szCs w:val="21"/>
                <w:lang w:eastAsia="zh-CN"/>
              </w:rPr>
              <w:t>真诚服务、客户满意；保护环境、节能降耗；以人为本、保障安全</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公司是是否充分及时收集评估，并转化为公司制度执行，符合新法规要求</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主要职能部门按照要求定期收集评法律法规</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人员不足。能力不足。沟通不畅</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采取的适当措施可包括对在职人员进行培训、辅导或重新分配工作，或者招聘具备能力的人员等。</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项目服务合格率达到9</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lang w:eastAsia="zh-CN"/>
                    </w:rPr>
                    <w:t>%</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客户满意率达</w:t>
                  </w:r>
                  <w:r>
                    <w:rPr>
                      <w:rFonts w:hint="eastAsia" w:ascii="Times New Roman" w:hAnsi="Times New Roman" w:eastAsia="宋体" w:cs="Times New Roman"/>
                      <w:sz w:val="18"/>
                      <w:szCs w:val="18"/>
                      <w:lang w:eastAsia="zh-CN"/>
                    </w:rPr>
                    <w:t>到</w:t>
                  </w:r>
                  <w:r>
                    <w:rPr>
                      <w:rFonts w:hint="eastAsia" w:ascii="Times New Roman" w:hAnsi="Times New Roman" w:eastAsia="宋体" w:cs="Times New Roman"/>
                      <w:sz w:val="18"/>
                      <w:szCs w:val="18"/>
                    </w:rPr>
                    <w:t>9</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rPr>
                    <w:t>%</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8</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lang w:eastAsia="zh-CN"/>
              </w:rPr>
              <w:t>□</w:t>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170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电焊机、管道疏通器、角磨机、清洁工具</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sz w:val="20"/>
                    </w:rPr>
                    <w:t>物业</w:t>
                  </w:r>
                  <w:r>
                    <w:rPr>
                      <w:rFonts w:hint="eastAsia"/>
                      <w:sz w:val="20"/>
                      <w:lang w:val="en-US" w:eastAsia="zh-CN"/>
                    </w:rPr>
                    <w:t>服务</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265" w:type="dxa"/>
                </w:tcPr>
                <w:p>
                  <w:pPr>
                    <w:shd w:val="clear" w:color="auto" w:fill="C7DAF1" w:themeFill="text2" w:themeFillTint="32"/>
                    <w:jc w:val="left"/>
                    <w:rPr>
                      <w:rFonts w:hint="default"/>
                      <w:lang w:val="en-US"/>
                    </w:rPr>
                  </w:pPr>
                  <w:r>
                    <w:rPr>
                      <w:rFonts w:hint="eastAsia"/>
                      <w:color w:val="000000"/>
                      <w:u w:val="single"/>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物业/保洁服务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ascii="方正仿宋简体" w:eastAsia="方正仿宋简体"/>
                <w:b/>
                <w:lang w:val="en-US" w:eastAsia="zh-CN"/>
              </w:rPr>
              <w:t>未提供对保洁服务质量进行了检查的证据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2022年7月8-9日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2022年7月19日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楷体" w:hAnsi="楷体" w:eastAsia="楷体" w:cs="楷体"/>
                <w:sz w:val="21"/>
                <w:szCs w:val="21"/>
                <w:lang w:eastAsia="zh-CN"/>
              </w:rPr>
            </w:pPr>
            <w:r>
              <w:rPr>
                <w:rFonts w:hint="eastAsia" w:ascii="楷体" w:hAnsi="楷体" w:eastAsia="楷体" w:cs="楷体"/>
                <w:sz w:val="21"/>
                <w:szCs w:val="21"/>
                <w:lang w:eastAsia="zh-CN"/>
              </w:rPr>
              <w:t>真诚服务、客户满意；保护环境、节能降耗；以人为本、保障安全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rPr>
                      <w:rFonts w:hint="default" w:eastAsia="宋体"/>
                      <w:lang w:val="en-US" w:eastAsia="zh-CN"/>
                    </w:rPr>
                  </w:pPr>
                  <w:r>
                    <w:rPr>
                      <w:rFonts w:hint="eastAsia"/>
                      <w:lang w:val="en-US" w:eastAsia="zh-CN"/>
                    </w:rPr>
                    <w:t>垃圾清运不及时导致环境污染</w:t>
                  </w:r>
                </w:p>
              </w:tc>
              <w:tc>
                <w:tcPr>
                  <w:tcW w:w="3742" w:type="dxa"/>
                </w:tcPr>
                <w:p>
                  <w:pPr>
                    <w:shd w:val="clear" w:color="auto" w:fill="EBF1DE" w:themeFill="accent3" w:themeFillTint="32"/>
                  </w:pPr>
                  <w:r>
                    <w:rPr>
                      <w:rFonts w:hint="eastAsia" w:ascii="宋体" w:hAnsi="宋体" w:cs="宋体"/>
                      <w:b w:val="0"/>
                      <w:bCs w:val="0"/>
                      <w:kern w:val="0"/>
                      <w:sz w:val="21"/>
                      <w:szCs w:val="21"/>
                      <w:lang w:val="en-US" w:eastAsia="zh-CN" w:bidi="ar-SA"/>
                    </w:rPr>
                    <w:t>项目部</w:t>
                  </w:r>
                  <w:r>
                    <w:rPr>
                      <w:rFonts w:hint="eastAsia" w:ascii="宋体" w:hAnsi="宋体" w:eastAsia="宋体" w:cs="宋体"/>
                      <w:b w:val="0"/>
                      <w:bCs w:val="0"/>
                      <w:kern w:val="0"/>
                      <w:sz w:val="21"/>
                      <w:szCs w:val="21"/>
                      <w:lang w:val="en-US" w:eastAsia="zh-CN" w:bidi="ar-SA"/>
                    </w:rPr>
                    <w:t>要严格按照垃圾清运管理规定，做好垃圾清运工作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default" w:eastAsia="宋体"/>
                      <w:sz w:val="18"/>
                      <w:szCs w:val="18"/>
                      <w:lang w:val="en-US" w:eastAsia="zh-CN"/>
                    </w:rPr>
                  </w:pPr>
                  <w:r>
                    <w:rPr>
                      <w:rFonts w:hint="eastAsia" w:ascii="宋体" w:hAnsi="宋体" w:cs="宋体"/>
                      <w:b w:val="0"/>
                      <w:bCs w:val="0"/>
                      <w:kern w:val="0"/>
                      <w:sz w:val="18"/>
                      <w:szCs w:val="18"/>
                    </w:rPr>
                    <w:t>不发生重大环境事故</w:t>
                  </w:r>
                  <w:r>
                    <w:rPr>
                      <w:rFonts w:hint="eastAsia" w:ascii="宋体" w:hAnsi="宋体" w:cs="宋体"/>
                      <w:b w:val="0"/>
                      <w:bCs w:val="0"/>
                      <w:kern w:val="0"/>
                      <w:sz w:val="18"/>
                      <w:szCs w:val="18"/>
                      <w:lang w:eastAsia="zh-CN"/>
                    </w:rPr>
                    <w:t>；</w:t>
                  </w:r>
                  <w:r>
                    <w:rPr>
                      <w:rFonts w:hint="eastAsia"/>
                      <w:bCs/>
                      <w:sz w:val="18"/>
                      <w:szCs w:val="18"/>
                    </w:rPr>
                    <w:t>固体废弃物分类处理率达100%</w:t>
                  </w:r>
                  <w:r>
                    <w:rPr>
                      <w:rFonts w:hint="eastAsia"/>
                      <w:bCs/>
                      <w:sz w:val="18"/>
                      <w:szCs w:val="18"/>
                      <w:lang w:eastAsia="zh-CN"/>
                    </w:rPr>
                    <w:t>；</w:t>
                  </w:r>
                  <w:r>
                    <w:rPr>
                      <w:rFonts w:hint="eastAsia"/>
                      <w:bCs/>
                      <w:sz w:val="18"/>
                      <w:szCs w:val="18"/>
                      <w:lang w:val="en-US" w:eastAsia="zh-CN"/>
                    </w:rPr>
                    <w:t>火灾发生率0</w:t>
                  </w:r>
                </w:p>
              </w:tc>
              <w:tc>
                <w:tcPr>
                  <w:tcW w:w="3137" w:type="dxa"/>
                  <w:shd w:val="clear" w:color="auto" w:fill="auto"/>
                  <w:vAlign w:val="center"/>
                </w:tcPr>
                <w:p>
                  <w:pPr>
                    <w:shd w:val="clear" w:color="auto" w:fill="EBF1DE" w:themeFill="accent3" w:themeFillTint="32"/>
                    <w:rPr>
                      <w:sz w:val="18"/>
                      <w:szCs w:val="18"/>
                      <w:lang w:val="en-GB"/>
                    </w:rPr>
                  </w:pPr>
                  <w:r>
                    <w:rPr>
                      <w:rFonts w:hint="eastAsia" w:cs="Times New Roman"/>
                      <w:sz w:val="18"/>
                      <w:szCs w:val="18"/>
                      <w:lang w:val="en-US" w:eastAsia="zh-CN"/>
                    </w:rPr>
                    <w:t>办公室</w:t>
                  </w: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170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default" w:eastAsia="楷体"/>
                <w:u w:val="single"/>
                <w:lang w:val="en-US" w:eastAsia="zh-CN"/>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r>
              <w:rPr>
                <w:rFonts w:hint="eastAsia" w:ascii="楷体" w:hAnsi="楷体" w:eastAsia="楷体"/>
                <w:szCs w:val="21"/>
                <w:lang w:eastAsia="zh-CN"/>
              </w:rPr>
              <w:t>、</w:t>
            </w:r>
            <w:r>
              <w:rPr>
                <w:rFonts w:hint="eastAsia" w:ascii="楷体" w:hAnsi="楷体" w:eastAsia="楷体"/>
                <w:szCs w:val="21"/>
                <w:lang w:val="en-US" w:eastAsia="zh-CN"/>
              </w:rPr>
              <w:t>维修工具、清扫设备</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Times New Roman" w:hAnsi="Times New Roman" w:eastAsia="宋体" w:cs="宋体"/>
                <w:bCs w:val="0"/>
                <w:spacing w:val="0"/>
                <w:kern w:val="2"/>
                <w:sz w:val="21"/>
                <w:lang w:val="en-US" w:eastAsia="zh-CN" w:bidi="ar-SA"/>
              </w:rPr>
              <w:t>202</w:t>
            </w:r>
            <w:r>
              <w:rPr>
                <w:rFonts w:hint="eastAsia" w:cs="宋体"/>
                <w:bCs w:val="0"/>
                <w:spacing w:val="0"/>
                <w:kern w:val="2"/>
                <w:sz w:val="21"/>
                <w:lang w:val="en-US" w:eastAsia="zh-CN" w:bidi="ar-SA"/>
              </w:rPr>
              <w:t>2年5月27日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lang w:eastAsia="zh-CN"/>
              </w:rPr>
              <w:t>☑</w:t>
            </w:r>
            <w:r>
              <w:rPr>
                <w:rFonts w:hint="eastAsia"/>
              </w:rPr>
              <w:t>定期（每年）：</w:t>
            </w:r>
            <w:r>
              <w:rPr>
                <w:rFonts w:hint="eastAsia"/>
                <w:lang w:val="en-US" w:eastAsia="zh-CN"/>
              </w:rPr>
              <w:t>2022年6月15日</w:t>
            </w:r>
          </w:p>
          <w:p>
            <w:pPr>
              <w:shd w:val="clear" w:color="auto" w:fill="EBF1DE" w:themeFill="accent3" w:themeFillTint="32"/>
            </w:pPr>
            <w:r>
              <w:rPr>
                <w:rFonts w:hint="eastAsia"/>
                <w:lang w:eastAsia="zh-CN"/>
              </w:rPr>
              <w:t>□</w:t>
            </w:r>
            <w:r>
              <w:rPr>
                <w:rFonts w:hint="eastAsia"/>
              </w:rPr>
              <w:t>特殊情况（法规变化）：年月日</w:t>
            </w:r>
          </w:p>
          <w:p>
            <w:pPr>
              <w:shd w:val="clear" w:color="auto" w:fill="EBF1DE" w:themeFill="accent3" w:themeFillTint="32"/>
              <w:rPr>
                <w:rFonts w:hint="eastAsia"/>
              </w:rPr>
            </w:pPr>
            <w:r>
              <w:rPr>
                <w:rFonts w:hint="eastAsia"/>
              </w:rPr>
              <w:t>对评价合规性发现的问题，采取必要的措施；对合规性评价结果的文件化证据进行了保留。</w:t>
            </w:r>
          </w:p>
          <w:p>
            <w:pPr>
              <w:pStyle w:val="2"/>
              <w:rPr>
                <w:rFonts w:hint="eastAsia" w:ascii="方正仿宋简体" w:eastAsia="方正仿宋简体"/>
                <w:b/>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ascii="方正仿宋简体" w:eastAsia="方正仿宋简体"/>
                <w:b/>
                <w:lang w:val="en-US" w:eastAsia="zh-CN"/>
              </w:rPr>
              <w:t>未包括《中华人民共和国噪声污染防治法》《中华人民共和国传染病防治法》等相关法律法规合规状况的评价</w:t>
            </w:r>
          </w:p>
          <w:p>
            <w:pPr>
              <w:pStyle w:val="2"/>
              <w:rPr>
                <w:rFonts w:hint="eastAsia" w:ascii="方正仿宋简体" w:eastAsia="方正仿宋简体"/>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2022年7月8-9日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2022年7月19日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cs="Times New Roman"/>
                <w:b/>
                <w:bCs/>
                <w:color w:val="000000"/>
                <w:szCs w:val="18"/>
                <w:lang w:eastAsia="zh-CN"/>
              </w:rPr>
            </w:pPr>
            <w:r>
              <w:rPr>
                <w:rFonts w:hint="eastAsia" w:ascii="Times New Roman" w:hAnsi="Times New Roman" w:cs="Times New Roman"/>
                <w:b/>
                <w:bCs/>
                <w:color w:val="000000"/>
                <w:szCs w:val="18"/>
                <w:lang w:eastAsia="zh-CN"/>
              </w:rPr>
              <w:t>真诚服务、客户满意；保护环境、节能降耗；以人为本、保障安全</w:t>
            </w:r>
            <w:r>
              <w:rPr>
                <w:rFonts w:hint="eastAsia" w:cs="Times New Roman"/>
                <w:b/>
                <w:bCs/>
                <w:color w:val="000000"/>
                <w:szCs w:val="18"/>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2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宋体"/>
                <w:lang w:val="en-US" w:eastAsia="zh-CN"/>
              </w:rPr>
              <w:t>陈颖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4518"/>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r>
                    <w:rPr>
                      <w:rFonts w:hint="eastAsia"/>
                    </w:rPr>
                    <w:t>主要的风险或机遇描述</w:t>
                  </w:r>
                </w:p>
              </w:tc>
              <w:tc>
                <w:tcPr>
                  <w:tcW w:w="4518" w:type="dxa"/>
                </w:tcPr>
                <w:p>
                  <w:r>
                    <w:rPr>
                      <w:rFonts w:hint="eastAsia"/>
                    </w:rPr>
                    <w:t>应对措施</w:t>
                  </w:r>
                </w:p>
              </w:tc>
              <w:tc>
                <w:tcPr>
                  <w:tcW w:w="1632"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518" w:type="dxa"/>
                </w:tcPr>
                <w:p>
                  <w:pPr>
                    <w:rPr>
                      <w:sz w:val="18"/>
                      <w:szCs w:val="18"/>
                    </w:rPr>
                  </w:pPr>
                  <w:r>
                    <w:rPr>
                      <w:rFonts w:hint="eastAsia" w:ascii="楷体" w:hAnsi="楷体" w:eastAsia="楷体" w:cs="楷体"/>
                      <w:sz w:val="21"/>
                      <w:szCs w:val="21"/>
                      <w:lang w:val="en-US" w:eastAsia="zh-CN"/>
                    </w:rPr>
                    <w:t>制定疫情应对措施，进出小区温度测控、定期消杀、外地人员或去过风险地区人员的报备</w:t>
                  </w:r>
                </w:p>
              </w:tc>
              <w:tc>
                <w:tcPr>
                  <w:tcW w:w="1632"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
                    <w:rPr>
                      <w:rFonts w:hint="eastAsia" w:cs="宋体"/>
                      <w:lang w:val="en-US" w:eastAsia="zh-CN"/>
                    </w:rPr>
                  </w:pPr>
                  <w:r>
                    <w:rPr>
                      <w:rFonts w:hint="eastAsia" w:cs="宋体"/>
                      <w:lang w:val="en-US" w:eastAsia="zh-CN"/>
                    </w:rPr>
                    <w:t>杜绝重大人身、设备及责任事件；</w:t>
                  </w:r>
                </w:p>
                <w:p>
                  <w:r>
                    <w:rPr>
                      <w:rFonts w:hint="eastAsia" w:cs="宋体"/>
                      <w:lang w:val="en-US" w:eastAsia="zh-CN"/>
                    </w:rPr>
                    <w:t>火灾发生率为零</w:t>
                  </w:r>
                </w:p>
              </w:tc>
              <w:tc>
                <w:tcPr>
                  <w:tcW w:w="3136" w:type="dxa"/>
                  <w:shd w:val="clear" w:color="auto" w:fill="auto"/>
                  <w:vAlign w:val="center"/>
                </w:tcPr>
                <w:p>
                  <w:pPr>
                    <w:rPr>
                      <w:lang w:val="en-GB"/>
                    </w:rPr>
                  </w:pPr>
                  <w:r>
                    <w:rPr>
                      <w:rFonts w:hint="eastAsia" w:cs="Times New Roman"/>
                      <w:sz w:val="18"/>
                      <w:szCs w:val="18"/>
                      <w:lang w:val="en-US" w:eastAsia="zh-CN"/>
                    </w:rPr>
                    <w:t>办公室</w:t>
                  </w: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170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楷体"/>
                <w:u w:val="single"/>
                <w:lang w:val="en-US" w:eastAsia="zh-CN"/>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r>
              <w:rPr>
                <w:rFonts w:hint="eastAsia" w:ascii="楷体" w:hAnsi="楷体" w:eastAsia="楷体"/>
                <w:szCs w:val="21"/>
                <w:lang w:eastAsia="zh-CN"/>
              </w:rPr>
              <w:t>、</w:t>
            </w:r>
            <w:r>
              <w:rPr>
                <w:rFonts w:hint="eastAsia" w:ascii="楷体" w:hAnsi="楷体" w:eastAsia="楷体"/>
                <w:szCs w:val="21"/>
                <w:lang w:val="en-US" w:eastAsia="zh-CN"/>
              </w:rPr>
              <w:t>维修工具、清扫设备</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安全装置检查：</w:t>
            </w:r>
            <w:r>
              <w:rPr>
                <w:rFonts w:hint="eastAsia"/>
                <w:lang w:eastAsia="zh-CN"/>
              </w:rPr>
              <w:t>☑</w:t>
            </w:r>
            <w:r>
              <w:rPr>
                <w:rFonts w:hint="eastAsia"/>
              </w:rPr>
              <w:t>进行了定期检查</w:t>
            </w:r>
            <w:r>
              <w:rPr>
                <w:rFonts w:hint="eastAsia"/>
                <w:lang w:eastAsia="zh-CN"/>
              </w:rPr>
              <w:t>□</w:t>
            </w:r>
            <w:r>
              <w:rPr>
                <w:rFonts w:hint="eastAsia"/>
              </w:rPr>
              <w:t>未进行定期检查的有：</w:t>
            </w:r>
          </w:p>
          <w:p>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rPr>
                <w:rFonts w:hint="eastAsia"/>
              </w:rPr>
            </w:pPr>
            <w:r>
              <w:rPr>
                <w:rFonts w:hint="eastAsia"/>
              </w:rPr>
              <w:t>特种设备检测报告，如：（</w:t>
            </w:r>
            <w:r>
              <w:rPr>
                <w:rFonts w:hint="eastAsia"/>
              </w:rPr>
              <w:t>举1例）</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Times New Roman" w:hAnsi="Times New Roman" w:eastAsia="宋体" w:cs="宋体"/>
                <w:lang w:val="en-US" w:eastAsia="zh-CN"/>
              </w:rPr>
              <w:t>2022</w:t>
            </w:r>
            <w:r>
              <w:rPr>
                <w:rFonts w:hint="eastAsia" w:ascii="Times New Roman" w:hAnsi="Times New Roman" w:cs="宋体"/>
                <w:lang w:val="en-US" w:eastAsia="zh-CN"/>
              </w:rPr>
              <w:t>年</w:t>
            </w:r>
            <w:r>
              <w:rPr>
                <w:rFonts w:hint="eastAsia" w:ascii="Times New Roman" w:hAnsi="Times New Roman" w:eastAsia="宋体" w:cs="宋体"/>
                <w:lang w:val="en-US" w:eastAsia="zh-CN"/>
              </w:rPr>
              <w:t>3</w:t>
            </w:r>
            <w:r>
              <w:rPr>
                <w:rFonts w:hint="eastAsia" w:ascii="Times New Roman" w:hAnsi="Times New Roman" w:cs="宋体"/>
                <w:lang w:val="en-US" w:eastAsia="zh-CN"/>
              </w:rPr>
              <w:t>月</w:t>
            </w:r>
            <w:r>
              <w:rPr>
                <w:rFonts w:hint="eastAsia" w:ascii="Times New Roman" w:hAnsi="Times New Roman" w:eastAsia="宋体" w:cs="宋体"/>
                <w:lang w:val="en-US" w:eastAsia="zh-CN"/>
              </w:rPr>
              <w:t>22</w:t>
            </w:r>
            <w:r>
              <w:rPr>
                <w:rFonts w:hint="eastAsia" w:ascii="Times New Roman" w:hAnsi="Times New Roman" w:cs="宋体"/>
                <w:lang w:val="en-US" w:eastAsia="zh-CN"/>
              </w:rPr>
              <w:t>日</w:t>
            </w:r>
            <w:r>
              <w:rPr>
                <w:rFonts w:hint="eastAsia"/>
              </w:rPr>
              <w:t>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2022年6月15日</w:t>
            </w:r>
          </w:p>
          <w:p>
            <w:r>
              <w:rPr>
                <w:rFonts w:hint="eastAsia" w:ascii="Wingdings" w:hAnsi="Wingdings"/>
                <w:lang w:eastAsia="zh-CN"/>
              </w:rPr>
              <w:t>□</w:t>
            </w:r>
            <w:r>
              <w:rPr>
                <w:rFonts w:hint="eastAsia"/>
              </w:rPr>
              <w:t>特殊情况（法规变化）：年月日</w:t>
            </w:r>
          </w:p>
          <w:p>
            <w:pPr>
              <w:rPr>
                <w:rFonts w:hint="eastAsia"/>
              </w:rPr>
            </w:pPr>
            <w:r>
              <w:rPr>
                <w:rFonts w:hint="eastAsia"/>
              </w:rPr>
              <w:t>对评价合规性发现的问题，采取必要的措施；对合规性评价结果的文件化证据进行了保留。</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ascii="方正仿宋简体" w:eastAsia="方正仿宋简体"/>
                <w:b/>
                <w:lang w:val="en-US" w:eastAsia="zh-CN"/>
              </w:rPr>
              <w:t>未包括《中华人民共和国噪声污染防治法》《中华人民共和国传染病防治法》等相关法律法规合规状况的评价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2022年7月8-9日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2022年7月19日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26" w:name="_GoBack"/>
            <w:bookmarkEnd w:id="26"/>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73756D9"/>
    <w:rsid w:val="1C88308B"/>
    <w:rsid w:val="24182F31"/>
    <w:rsid w:val="32D807CA"/>
    <w:rsid w:val="5DF23ED1"/>
    <w:rsid w:val="60E6743D"/>
    <w:rsid w:val="61076609"/>
    <w:rsid w:val="632F5B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13050</Words>
  <Characters>13937</Characters>
  <Lines>150</Lines>
  <Paragraphs>42</Paragraphs>
  <TotalTime>1</TotalTime>
  <ScaleCrop>false</ScaleCrop>
  <LinksUpToDate>false</LinksUpToDate>
  <CharactersWithSpaces>14037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2022-08-17T04:29:23Z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