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32"/>
        </w:rPr>
      </w:pPr>
      <w:r>
        <w:rPr>
          <w:rFonts w:hint="eastAsia" w:asciiTheme="majorEastAsia" w:hAnsiTheme="majorEastAsia" w:eastAsiaTheme="majorEastAsia" w:cstheme="majorEastAsia"/>
          <w:b/>
          <w:bCs/>
          <w:sz w:val="32"/>
        </w:rPr>
        <w:t>观 察 项（建议项） 报 告</w:t>
      </w:r>
    </w:p>
    <w:tbl>
      <w:tblPr>
        <w:tblStyle w:val="6"/>
        <w:tblW w:w="1016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3"/>
        <w:gridCol w:w="947"/>
        <w:gridCol w:w="6775"/>
        <w:gridCol w:w="15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850"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317" w:type="dxa"/>
            <w:gridSpan w:val="2"/>
            <w:tcBorders>
              <w:left w:val="single" w:color="auto" w:sz="4" w:space="0"/>
            </w:tcBorders>
          </w:tcPr>
          <w:p>
            <w:pPr>
              <w:spacing w:before="120" w:line="360" w:lineRule="auto"/>
              <w:rPr>
                <w:b/>
                <w:szCs w:val="21"/>
              </w:rPr>
            </w:pPr>
            <w:r>
              <w:rPr>
                <w:rFonts w:hint="eastAsia"/>
                <w:b/>
                <w:szCs w:val="21"/>
              </w:rPr>
              <w:t>中国石化长城能源化工（宁夏）有限公司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850" w:type="dxa"/>
            <w:gridSpan w:val="2"/>
            <w:tcBorders>
              <w:right w:val="single" w:color="auto" w:sz="4" w:space="0"/>
            </w:tcBorders>
            <w:vAlign w:val="center"/>
          </w:tcPr>
          <w:p>
            <w:r>
              <w:rPr>
                <w:rFonts w:hint="eastAsia" w:ascii="方正仿宋简体" w:eastAsia="方正仿宋简体"/>
                <w:b/>
              </w:rPr>
              <w:t>审核领域及类型</w:t>
            </w:r>
          </w:p>
        </w:tc>
        <w:tc>
          <w:tcPr>
            <w:tcW w:w="8317" w:type="dxa"/>
            <w:gridSpan w:val="2"/>
            <w:tcBorders>
              <w:left w:val="single" w:color="auto" w:sz="4" w:space="0"/>
            </w:tcBorders>
            <w:vAlign w:val="center"/>
          </w:tcPr>
          <w:p>
            <w:pPr>
              <w:spacing w:line="360" w:lineRule="auto"/>
              <w:rPr>
                <w:rFonts w:cs="Arial" w:asciiTheme="minorEastAsia" w:hAnsiTheme="minorEastAsia" w:eastAsiaTheme="minorEastAsia"/>
                <w:b/>
                <w:sz w:val="30"/>
                <w:szCs w:val="30"/>
              </w:rPr>
            </w:pPr>
            <w:bookmarkStart w:id="0" w:name="Q勾选"/>
            <w:r>
              <w:rPr>
                <w:rFonts w:hint="eastAsia" w:asciiTheme="minorEastAsia" w:hAnsiTheme="minorEastAsia" w:eastAsiaTheme="minorEastAsia"/>
                <w:b/>
                <w:szCs w:val="21"/>
              </w:rPr>
              <w:t>□</w:t>
            </w:r>
            <w:bookmarkEnd w:id="0"/>
            <w:r>
              <w:rPr>
                <w:rFonts w:asciiTheme="minorEastAsia" w:hAnsiTheme="minorEastAsia" w:eastAsiaTheme="minorEastAsia"/>
                <w:b/>
                <w:spacing w:val="-2"/>
                <w:szCs w:val="21"/>
              </w:rPr>
              <w:t>QMS</w:t>
            </w:r>
            <w:bookmarkStart w:id="1" w:name="QJ勾选"/>
            <w:r>
              <w:rPr>
                <w:rFonts w:asciiTheme="minorEastAsia" w:hAnsiTheme="minorEastAsia" w:eastAsiaTheme="minorEastAsia"/>
                <w:b/>
                <w:spacing w:val="-2"/>
                <w:szCs w:val="21"/>
              </w:rPr>
              <w:t xml:space="preserve"> </w:t>
            </w:r>
            <w:r>
              <w:rPr>
                <w:rFonts w:hint="eastAsia" w:asciiTheme="minorEastAsia" w:hAnsiTheme="minorEastAsia" w:eastAsiaTheme="minorEastAsia"/>
                <w:b/>
                <w:szCs w:val="21"/>
              </w:rPr>
              <w:t>□</w:t>
            </w:r>
            <w:bookmarkEnd w:id="1"/>
            <w:r>
              <w:rPr>
                <w:rFonts w:hint="eastAsia" w:asciiTheme="minorEastAsia" w:hAnsiTheme="minorEastAsia" w:eastAsiaTheme="minorEastAsia"/>
                <w:b/>
                <w:spacing w:val="-2"/>
                <w:szCs w:val="21"/>
              </w:rPr>
              <w:t>5</w:t>
            </w:r>
            <w:r>
              <w:rPr>
                <w:rFonts w:asciiTheme="minorEastAsia" w:hAnsiTheme="minorEastAsia" w:eastAsiaTheme="minorEastAsia"/>
                <w:b/>
                <w:spacing w:val="-2"/>
                <w:szCs w:val="21"/>
              </w:rPr>
              <w:t>0430</w:t>
            </w:r>
            <w:bookmarkStart w:id="2" w:name="E勾选"/>
            <w:r>
              <w:rPr>
                <w:rFonts w:asciiTheme="minorEastAsia" w:hAnsiTheme="minorEastAsia" w:eastAsiaTheme="minorEastAsia"/>
                <w:b/>
                <w:spacing w:val="-2"/>
                <w:szCs w:val="21"/>
              </w:rPr>
              <w:t xml:space="preserve"> </w:t>
            </w:r>
            <w:r>
              <w:rPr>
                <w:rFonts w:hint="eastAsia" w:asciiTheme="minorEastAsia" w:hAnsiTheme="minorEastAsia" w:eastAsiaTheme="minorEastAsia"/>
                <w:b/>
                <w:szCs w:val="21"/>
              </w:rPr>
              <w:t>□</w:t>
            </w:r>
            <w:bookmarkEnd w:id="2"/>
            <w:r>
              <w:rPr>
                <w:rFonts w:asciiTheme="minorEastAsia" w:hAnsiTheme="minorEastAsia" w:eastAsiaTheme="minorEastAsia"/>
                <w:b/>
                <w:spacing w:val="-2"/>
                <w:szCs w:val="21"/>
              </w:rPr>
              <w:t>EMS</w:t>
            </w:r>
            <w:bookmarkStart w:id="3" w:name="S勾选"/>
            <w:r>
              <w:rPr>
                <w:rFonts w:asciiTheme="minorEastAsia" w:hAnsiTheme="minorEastAsia" w:eastAsiaTheme="minorEastAsia"/>
                <w:b/>
                <w:spacing w:val="-2"/>
                <w:szCs w:val="21"/>
              </w:rPr>
              <w:t xml:space="preserve"> </w:t>
            </w:r>
            <w:r>
              <w:rPr>
                <w:rFonts w:hint="eastAsia" w:asciiTheme="minorEastAsia" w:hAnsiTheme="minorEastAsia" w:eastAsiaTheme="minorEastAsia"/>
                <w:b/>
                <w:szCs w:val="21"/>
              </w:rPr>
              <w:t>□</w:t>
            </w:r>
            <w:bookmarkEnd w:id="3"/>
            <w:r>
              <w:rPr>
                <w:rFonts w:asciiTheme="minorEastAsia" w:hAnsiTheme="minorEastAsia" w:eastAsiaTheme="minorEastAsia"/>
                <w:b/>
                <w:spacing w:val="-2"/>
                <w:szCs w:val="21"/>
              </w:rPr>
              <w:t xml:space="preserve">OHSMS </w:t>
            </w:r>
            <w:r>
              <w:rPr>
                <w:rFonts w:hint="eastAsia" w:asciiTheme="minorEastAsia" w:hAnsiTheme="minorEastAsia" w:eastAsiaTheme="minorEastAsia"/>
                <w:b/>
                <w:szCs w:val="21"/>
              </w:rPr>
              <w:sym w:font="Wingdings 2" w:char="0052"/>
            </w:r>
            <w:r>
              <w:rPr>
                <w:rFonts w:asciiTheme="minorEastAsia" w:hAnsiTheme="minorEastAsia" w:eastAsiaTheme="minorEastAsia"/>
                <w:b/>
                <w:spacing w:val="-2"/>
                <w:szCs w:val="21"/>
              </w:rPr>
              <w:t>E</w:t>
            </w:r>
            <w:r>
              <w:rPr>
                <w:rFonts w:hint="eastAsia" w:asciiTheme="minorEastAsia" w:hAnsiTheme="minorEastAsia" w:eastAsiaTheme="minorEastAsia"/>
                <w:b/>
                <w:spacing w:val="-2"/>
                <w:szCs w:val="21"/>
              </w:rPr>
              <w:t>n</w:t>
            </w:r>
            <w:r>
              <w:rPr>
                <w:rFonts w:asciiTheme="minorEastAsia" w:hAnsiTheme="minorEastAsia" w:eastAsiaTheme="minorEastAsia"/>
                <w:b/>
                <w:spacing w:val="-2"/>
                <w:szCs w:val="21"/>
              </w:rPr>
              <w:t>MS</w:t>
            </w:r>
            <w:bookmarkStart w:id="4" w:name="F勾选"/>
            <w:r>
              <w:rPr>
                <w:rFonts w:asciiTheme="minorEastAsia" w:hAnsiTheme="minorEastAsia" w:eastAsiaTheme="minorEastAsia"/>
                <w:b/>
                <w:spacing w:val="-2"/>
                <w:szCs w:val="21"/>
              </w:rPr>
              <w:t xml:space="preserve"> </w:t>
            </w:r>
            <w:r>
              <w:rPr>
                <w:rFonts w:hint="eastAsia" w:cs="宋体" w:asciiTheme="minorEastAsia" w:hAnsiTheme="minorEastAsia" w:eastAsiaTheme="minorEastAsia"/>
                <w:b/>
                <w:szCs w:val="21"/>
              </w:rPr>
              <w:t>□</w:t>
            </w:r>
            <w:bookmarkEnd w:id="4"/>
            <w:r>
              <w:rPr>
                <w:rFonts w:hint="eastAsia" w:asciiTheme="minorEastAsia" w:hAnsiTheme="minorEastAsia" w:eastAsiaTheme="minorEastAsia"/>
                <w:b/>
                <w:szCs w:val="21"/>
              </w:rPr>
              <w:t>FSMS</w:t>
            </w:r>
            <w:bookmarkStart w:id="5" w:name="H勾选"/>
            <w:r>
              <w:rPr>
                <w:rFonts w:asciiTheme="minorEastAsia" w:hAnsiTheme="minorEastAsia" w:eastAsiaTheme="minorEastAsia"/>
                <w:b/>
                <w:szCs w:val="21"/>
              </w:rPr>
              <w:t xml:space="preserve"> </w:t>
            </w:r>
            <w:r>
              <w:rPr>
                <w:rFonts w:hint="eastAsia" w:cs="宋体" w:asciiTheme="minorEastAsia" w:hAnsiTheme="minorEastAsia" w:eastAsiaTheme="minorEastAsia"/>
                <w:b/>
                <w:szCs w:val="21"/>
              </w:rPr>
              <w:t>□</w:t>
            </w:r>
            <w:bookmarkEnd w:id="5"/>
            <w:r>
              <w:rPr>
                <w:rFonts w:hint="eastAsia" w:asciiTheme="minorEastAsia" w:hAnsiTheme="minorEastAsia" w:eastAsiaTheme="minorEastAsia"/>
                <w:b/>
                <w:szCs w:val="21"/>
              </w:rPr>
              <w:t>HACCP</w:t>
            </w:r>
          </w:p>
          <w:p>
            <w:pPr>
              <w:rPr>
                <w:rFonts w:asciiTheme="minorEastAsia" w:hAnsiTheme="minorEastAsia" w:eastAsiaTheme="minorEastAsia"/>
              </w:rPr>
            </w:pPr>
            <w:r>
              <w:rPr>
                <w:rFonts w:hint="eastAsia" w:asciiTheme="minorEastAsia" w:hAnsiTheme="minorEastAsia" w:eastAsiaTheme="minorEastAsia"/>
                <w:b/>
                <w:szCs w:val="21"/>
              </w:rPr>
              <w:t>□初审 □第(二)阶段审核</w:t>
            </w:r>
            <w:bookmarkStart w:id="6" w:name="再认证勾选"/>
            <w:r>
              <w:rPr>
                <w:rFonts w:hint="eastAsia" w:asciiTheme="minorEastAsia" w:hAnsiTheme="minorEastAsia" w:eastAsiaTheme="minorEastAsia"/>
                <w:b/>
                <w:szCs w:val="21"/>
              </w:rPr>
              <w:t xml:space="preserve"> □</w:t>
            </w:r>
            <w:bookmarkEnd w:id="6"/>
            <w:r>
              <w:rPr>
                <w:rFonts w:hint="eastAsia" w:asciiTheme="minorEastAsia" w:hAnsiTheme="minorEastAsia" w:eastAsiaTheme="minorEastAsia"/>
                <w:b/>
                <w:szCs w:val="21"/>
              </w:rPr>
              <w:t>再认证</w:t>
            </w:r>
            <w:bookmarkStart w:id="7" w:name="监督勾选"/>
            <w:r>
              <w:rPr>
                <w:rFonts w:hint="eastAsia" w:asciiTheme="minorEastAsia" w:hAnsiTheme="minorEastAsia" w:eastAsiaTheme="minorEastAsia"/>
                <w:b/>
                <w:szCs w:val="21"/>
              </w:rPr>
              <w:t xml:space="preserve"> </w:t>
            </w:r>
            <w:bookmarkEnd w:id="7"/>
            <w:r>
              <w:rPr>
                <w:rFonts w:hint="eastAsia" w:asciiTheme="minorEastAsia" w:hAnsiTheme="minorEastAsia" w:eastAsiaTheme="minorEastAsia"/>
                <w:b/>
                <w:szCs w:val="21"/>
              </w:rPr>
              <w:sym w:font="Wingdings 2" w:char="0052"/>
            </w:r>
            <w:r>
              <w:rPr>
                <w:rFonts w:hint="eastAsia" w:asciiTheme="minorEastAsia" w:hAnsiTheme="minorEastAsia" w:eastAsiaTheme="minorEastAsia"/>
                <w:b/>
                <w:szCs w:val="21"/>
              </w:rPr>
              <w:t>监督（</w:t>
            </w:r>
            <w:bookmarkStart w:id="8" w:name="监督次数"/>
            <w:bookmarkEnd w:id="8"/>
            <w:r>
              <w:rPr>
                <w:rFonts w:hint="eastAsia" w:asciiTheme="minorEastAsia" w:hAnsiTheme="minorEastAsia" w:eastAsiaTheme="minorEastAsia"/>
                <w:b/>
                <w:szCs w:val="21"/>
              </w:rPr>
              <w:t>1）次 □证书转换</w:t>
            </w:r>
            <w:bookmarkStart w:id="9" w:name="特殊审核勾选"/>
            <w:r>
              <w:rPr>
                <w:rFonts w:hint="eastAsia" w:asciiTheme="minorEastAsia" w:hAnsiTheme="minorEastAsia" w:eastAsiaTheme="minorEastAsia"/>
                <w:b/>
                <w:szCs w:val="21"/>
              </w:rPr>
              <w:t xml:space="preserve"> □</w:t>
            </w:r>
            <w:bookmarkEnd w:id="9"/>
            <w:r>
              <w:rPr>
                <w:rFonts w:hint="eastAsia" w:asciiTheme="minorEastAsia" w:hAnsiTheme="minorEastAsia" w:eastAsiaTheme="minorEastAsia"/>
                <w:b/>
                <w:szCs w:val="21"/>
              </w:rPr>
              <w:t>特殊审核 □其他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7722"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1542"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pStyle w:val="2"/>
              <w:ind w:left="0" w:leftChars="0" w:firstLine="241" w:firstLineChars="100"/>
              <w:rPr>
                <w:rFonts w:hint="default" w:eastAsia="宋体"/>
                <w:lang w:val="en-US" w:eastAsia="zh-CN"/>
              </w:rPr>
            </w:pPr>
            <w:r>
              <w:rPr>
                <w:rFonts w:hint="eastAsia"/>
                <w:lang w:val="en-US" w:eastAsia="zh-CN"/>
              </w:rPr>
              <w:t>1</w:t>
            </w:r>
          </w:p>
          <w:p>
            <w:pPr>
              <w:rPr>
                <w:rFonts w:hint="eastAsia"/>
              </w:rPr>
            </w:pPr>
          </w:p>
        </w:tc>
        <w:tc>
          <w:tcPr>
            <w:tcW w:w="7722" w:type="dxa"/>
            <w:gridSpan w:val="2"/>
            <w:tcBorders>
              <w:left w:val="single" w:color="auto" w:sz="4" w:space="0"/>
              <w:right w:val="single" w:color="auto" w:sz="4" w:space="0"/>
            </w:tcBorders>
            <w:vAlign w:val="center"/>
          </w:tcPr>
          <w:p>
            <w:pPr>
              <w:spacing w:line="360" w:lineRule="auto"/>
              <w:ind w:firstLine="240" w:firstLineChars="100"/>
              <w:jc w:val="both"/>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sz w:val="24"/>
                <w:szCs w:val="24"/>
                <w:lang w:val="en-US" w:eastAsia="zh-CN"/>
              </w:rPr>
              <w:t>在生产计划部查</w:t>
            </w:r>
            <w:r>
              <w:rPr>
                <w:rFonts w:hint="eastAsia" w:ascii="宋体" w:hAnsi="宋体" w:eastAsia="宋体" w:cs="宋体"/>
                <w:b w:val="0"/>
                <w:bCs/>
                <w:color w:val="auto"/>
                <w:kern w:val="0"/>
                <w:sz w:val="24"/>
                <w:szCs w:val="24"/>
                <w:lang w:val="en-US" w:eastAsia="zh-CN"/>
              </w:rPr>
              <w:t>公司各</w:t>
            </w:r>
            <w:r>
              <w:rPr>
                <w:rFonts w:hint="eastAsia" w:ascii="宋体" w:hAnsi="宋体" w:eastAsia="宋体" w:cs="宋体"/>
                <w:b w:val="0"/>
                <w:bCs/>
                <w:color w:val="auto"/>
                <w:kern w:val="0"/>
                <w:sz w:val="24"/>
                <w:szCs w:val="24"/>
              </w:rPr>
              <w:t>单位</w:t>
            </w:r>
            <w:r>
              <w:rPr>
                <w:rFonts w:hint="eastAsia" w:ascii="宋体" w:hAnsi="宋体" w:eastAsia="宋体" w:cs="宋体"/>
                <w:b w:val="0"/>
                <w:bCs/>
                <w:color w:val="auto"/>
                <w:kern w:val="0"/>
                <w:sz w:val="24"/>
                <w:szCs w:val="24"/>
                <w:lang w:val="en-US" w:eastAsia="zh-CN"/>
              </w:rPr>
              <w:t>2021年</w:t>
            </w:r>
            <w:r>
              <w:rPr>
                <w:rFonts w:hint="eastAsia" w:ascii="宋体" w:hAnsi="宋体" w:eastAsia="宋体" w:cs="宋体"/>
                <w:b w:val="0"/>
                <w:bCs/>
                <w:color w:val="auto"/>
                <w:kern w:val="0"/>
                <w:sz w:val="24"/>
                <w:szCs w:val="24"/>
              </w:rPr>
              <w:t>产品能耗完成情况</w:t>
            </w:r>
            <w:r>
              <w:rPr>
                <w:rFonts w:hint="eastAsia" w:ascii="宋体" w:hAnsi="宋体" w:eastAsia="宋体" w:cs="宋体"/>
                <w:b w:val="0"/>
                <w:bCs/>
                <w:color w:val="auto"/>
                <w:kern w:val="0"/>
                <w:sz w:val="24"/>
                <w:szCs w:val="24"/>
                <w:lang w:val="en-US" w:eastAsia="zh-CN"/>
              </w:rPr>
              <w:t>时发现，热电运行部</w:t>
            </w:r>
            <w:r>
              <w:rPr>
                <w:rFonts w:hint="eastAsia" w:ascii="宋体" w:hAnsi="宋体" w:eastAsia="宋体" w:cs="宋体"/>
                <w:b w:val="0"/>
                <w:bCs/>
                <w:color w:val="auto"/>
                <w:kern w:val="0"/>
                <w:sz w:val="24"/>
                <w:szCs w:val="24"/>
              </w:rPr>
              <w:t>空分锅炉供热标煤耗</w:t>
            </w:r>
            <w:r>
              <w:rPr>
                <w:rFonts w:hint="eastAsia" w:ascii="宋体" w:hAnsi="宋体" w:eastAsia="宋体" w:cs="宋体"/>
                <w:b w:val="0"/>
                <w:bCs/>
                <w:color w:val="auto"/>
                <w:kern w:val="0"/>
                <w:sz w:val="24"/>
                <w:szCs w:val="24"/>
                <w:lang w:val="en-US" w:eastAsia="zh-CN"/>
              </w:rPr>
              <w:t>指标未完成，（2021年指标为31kgce/GJ,实际完成321kgce/GJ ），未能出示原因分析及相应的整改措施。</w:t>
            </w:r>
          </w:p>
          <w:p>
            <w:pPr>
              <w:pStyle w:val="2"/>
              <w:rPr>
                <w:rFonts w:hint="eastAsia" w:ascii="宋体" w:hAnsi="宋体" w:eastAsia="宋体" w:cs="宋体"/>
                <w:b w:val="0"/>
                <w:bCs/>
                <w:sz w:val="24"/>
                <w:szCs w:val="24"/>
                <w:lang w:val="en-US" w:eastAsia="zh-CN"/>
              </w:rPr>
            </w:pPr>
            <w:r>
              <w:rPr>
                <w:rFonts w:hint="eastAsia" w:ascii="宋体" w:hAnsi="宋体" w:eastAsia="宋体" w:cs="宋体"/>
                <w:b w:val="0"/>
                <w:bCs/>
                <w:color w:val="auto"/>
                <w:kern w:val="0"/>
                <w:sz w:val="24"/>
                <w:szCs w:val="24"/>
                <w:lang w:val="en-US" w:eastAsia="zh-CN"/>
              </w:rPr>
              <w:t>在公司下发2022年热电运行部能源指标中，就将</w:t>
            </w:r>
            <w:r>
              <w:rPr>
                <w:rFonts w:hint="eastAsia" w:ascii="宋体" w:hAnsi="宋体" w:eastAsia="宋体" w:cs="宋体"/>
                <w:b w:val="0"/>
                <w:bCs/>
                <w:color w:val="auto"/>
                <w:kern w:val="0"/>
                <w:sz w:val="24"/>
                <w:szCs w:val="24"/>
              </w:rPr>
              <w:t>空分锅炉供热标煤耗</w:t>
            </w:r>
            <w:r>
              <w:rPr>
                <w:rFonts w:hint="eastAsia" w:ascii="宋体" w:hAnsi="宋体" w:eastAsia="宋体" w:cs="宋体"/>
                <w:b w:val="0"/>
                <w:bCs/>
                <w:color w:val="auto"/>
                <w:kern w:val="0"/>
                <w:sz w:val="24"/>
                <w:szCs w:val="24"/>
                <w:lang w:val="en-US" w:eastAsia="zh-CN"/>
              </w:rPr>
              <w:t>指标调整为321kgce/GJ。</w:t>
            </w:r>
          </w:p>
        </w:tc>
        <w:tc>
          <w:tcPr>
            <w:tcW w:w="1542" w:type="dxa"/>
            <w:tcBorders>
              <w:left w:val="single" w:color="auto" w:sz="4" w:space="0"/>
            </w:tcBorders>
            <w:vAlign w:val="center"/>
          </w:tcPr>
          <w:p>
            <w:pPr>
              <w:jc w:val="center"/>
              <w:rPr>
                <w:rFonts w:hint="default" w:ascii="方正仿宋简体" w:eastAsia="方正仿宋简体"/>
                <w:b/>
                <w:szCs w:val="21"/>
                <w:lang w:val="en-US" w:eastAsia="zh-CN"/>
              </w:rPr>
            </w:pPr>
            <w:r>
              <w:rPr>
                <w:rFonts w:hint="eastAsia" w:ascii="方正仿宋简体" w:eastAsia="方正仿宋简体"/>
                <w:b/>
                <w:szCs w:val="21"/>
                <w:lang w:val="en-US" w:eastAsia="zh-CN"/>
              </w:rPr>
              <w:t>已与企业沟通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pStyle w:val="2"/>
              <w:ind w:left="0" w:leftChars="0" w:firstLine="0" w:firstLineChars="0"/>
              <w:rPr>
                <w:rFonts w:hint="default" w:eastAsia="宋体"/>
                <w:lang w:val="en-US" w:eastAsia="zh-CN"/>
              </w:rPr>
            </w:pPr>
            <w:r>
              <w:rPr>
                <w:rFonts w:hint="eastAsia"/>
                <w:lang w:val="en-US" w:eastAsia="zh-CN"/>
              </w:rPr>
              <w:t xml:space="preserve">  2</w:t>
            </w:r>
          </w:p>
        </w:tc>
        <w:tc>
          <w:tcPr>
            <w:tcW w:w="7722" w:type="dxa"/>
            <w:gridSpan w:val="2"/>
            <w:tcBorders>
              <w:left w:val="single" w:color="auto" w:sz="4" w:space="0"/>
              <w:right w:val="single" w:color="auto" w:sz="4" w:space="0"/>
            </w:tcBorders>
            <w:vAlign w:val="center"/>
          </w:tcPr>
          <w:p>
            <w:pPr>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希望公司管理部门之间以及管理部门与生产运行部之间多沟通多联系，审核中发现：公司能源评审报告（生产计划部编制）中明确说明“</w:t>
            </w:r>
            <w:r>
              <w:rPr>
                <w:rFonts w:hint="eastAsia" w:ascii="宋体" w:hAnsi="宋体" w:eastAsia="宋体" w:cs="宋体"/>
                <w:b w:val="0"/>
                <w:bCs/>
                <w:sz w:val="24"/>
                <w:szCs w:val="24"/>
              </w:rPr>
              <w:t>经过核查，公司原有551台高耗能落后机电设备，已经于2020年12月之前全部淘汰完毕。公司目前不存在高耗能落后机电设备</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但设备工程部2022年还编制了“淘汰电动机台账及计划措施”。甲醇运行部出示有“2021年高耗能电动机淘汰63台台账”以及2022年编制的“电机（34台）淘汰计划”、“变压器4台淘汰计划”等</w:t>
            </w:r>
          </w:p>
        </w:tc>
        <w:tc>
          <w:tcPr>
            <w:tcW w:w="1542" w:type="dxa"/>
            <w:tcBorders>
              <w:left w:val="single" w:color="auto" w:sz="4" w:space="0"/>
            </w:tcBorders>
            <w:vAlign w:val="center"/>
          </w:tcPr>
          <w:p>
            <w:pPr>
              <w:jc w:val="center"/>
              <w:rPr>
                <w:rFonts w:hint="default" w:ascii="方正仿宋简体" w:eastAsia="方正仿宋简体"/>
                <w:b/>
                <w:szCs w:val="21"/>
                <w:lang w:val="en-US" w:eastAsia="zh-CN"/>
              </w:rPr>
            </w:pPr>
            <w:r>
              <w:rPr>
                <w:rFonts w:hint="eastAsia" w:ascii="方正仿宋简体" w:eastAsia="方正仿宋简体"/>
                <w:b/>
                <w:szCs w:val="21"/>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jc w:val="center"/>
              <w:rPr>
                <w:rFonts w:hint="default" w:asciiTheme="minorEastAsia" w:hAnsiTheme="minorEastAsia" w:eastAsiaTheme="minorEastAsia"/>
                <w:b/>
                <w:lang w:val="en-US" w:eastAsia="zh-CN"/>
              </w:rPr>
            </w:pPr>
            <w:r>
              <w:rPr>
                <w:rFonts w:hint="eastAsia" w:asciiTheme="minorEastAsia" w:hAnsiTheme="minorEastAsia" w:eastAsiaTheme="minorEastAsia"/>
                <w:b/>
                <w:lang w:val="en-US" w:eastAsia="zh-CN"/>
              </w:rPr>
              <w:t>3</w:t>
            </w:r>
          </w:p>
        </w:tc>
        <w:tc>
          <w:tcPr>
            <w:tcW w:w="7722" w:type="dxa"/>
            <w:gridSpan w:val="2"/>
            <w:tcBorders>
              <w:left w:val="single" w:color="auto" w:sz="4" w:space="0"/>
              <w:right w:val="single" w:color="auto" w:sz="4" w:space="0"/>
            </w:tcBorders>
            <w:vAlign w:val="center"/>
          </w:tcPr>
          <w:p>
            <w:pPr>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rPr>
              <w:t>BDO运行部提供的2021年《PTMEG装置能源评审报告》和热电运行部提供的2021年《热电机组装置能源评审报告》中，编制依据存在少数作废标准未更新及个别标准不准确的情况，如：</w:t>
            </w:r>
          </w:p>
          <w:p>
            <w:pPr>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rPr>
              <w:t>1）GB/T 2589-2008 《综合能耗计算通则》已被2020版代替；</w:t>
            </w:r>
          </w:p>
          <w:p>
            <w:pPr>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rPr>
              <w:t>2）GB/T 17166-1997《企业能源审计技术通则》已被2019版代替；</w:t>
            </w:r>
          </w:p>
          <w:p>
            <w:pPr>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rPr>
              <w:t>3）BDO运行部依据的GB/T 24768-2009是1,4-丁二醇的产品标准，却误列为消耗限额标准，限额标准应当是GB 31824-2015《1,4-丁二醇单位产品能源消耗限额》。</w:t>
            </w:r>
          </w:p>
        </w:tc>
        <w:tc>
          <w:tcPr>
            <w:tcW w:w="1542" w:type="dxa"/>
            <w:tcBorders>
              <w:left w:val="single" w:color="auto" w:sz="4" w:space="0"/>
            </w:tcBorders>
            <w:vAlign w:val="center"/>
          </w:tcPr>
          <w:p>
            <w:pPr>
              <w:jc w:val="center"/>
              <w:rPr>
                <w:rFonts w:ascii="方正仿宋简体" w:eastAsia="方正仿宋简体"/>
                <w:b/>
              </w:rPr>
            </w:pPr>
            <w:r>
              <w:rPr>
                <w:rFonts w:hint="eastAsia" w:ascii="方正仿宋简体" w:eastAsia="方正仿宋简体"/>
                <w:b/>
                <w:szCs w:val="21"/>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w:t>
            </w:r>
          </w:p>
        </w:tc>
        <w:tc>
          <w:tcPr>
            <w:tcW w:w="7722" w:type="dxa"/>
            <w:gridSpan w:val="2"/>
            <w:tcBorders>
              <w:left w:val="single" w:color="auto" w:sz="4" w:space="0"/>
              <w:right w:val="single" w:color="auto" w:sz="4" w:space="0"/>
            </w:tcBorders>
            <w:vAlign w:val="center"/>
          </w:tcPr>
          <w:p>
            <w:pPr>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查BDO运行部</w:t>
            </w:r>
            <w:r>
              <w:rPr>
                <w:rFonts w:hint="eastAsia" w:ascii="宋体" w:hAnsi="宋体" w:eastAsia="宋体" w:cs="宋体"/>
                <w:b w:val="0"/>
                <w:bCs/>
                <w:sz w:val="24"/>
                <w:szCs w:val="24"/>
              </w:rPr>
              <w:t>2019年5月完成的“BDO运行部氮气管网改造项目”，在BDO运行部能源评审报告中《节能技改项目清单》“效果评价”栏目中的结论未按要求计算项目完成后的节能量，只描述为停运了两台用能设备。</w:t>
            </w:r>
          </w:p>
        </w:tc>
        <w:tc>
          <w:tcPr>
            <w:tcW w:w="1542" w:type="dxa"/>
            <w:tcBorders>
              <w:left w:val="single" w:color="auto" w:sz="4" w:space="0"/>
            </w:tcBorders>
            <w:vAlign w:val="center"/>
          </w:tcPr>
          <w:p>
            <w:pPr>
              <w:jc w:val="center"/>
              <w:rPr>
                <w:b/>
              </w:rPr>
            </w:pPr>
            <w:r>
              <w:rPr>
                <w:rFonts w:hint="eastAsia" w:ascii="方正仿宋简体" w:eastAsia="方正仿宋简体"/>
                <w:b/>
                <w:szCs w:val="21"/>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w:t>
            </w:r>
          </w:p>
        </w:tc>
        <w:tc>
          <w:tcPr>
            <w:tcW w:w="7722" w:type="dxa"/>
            <w:gridSpan w:val="2"/>
            <w:tcBorders>
              <w:left w:val="single" w:color="auto" w:sz="4" w:space="0"/>
              <w:right w:val="single" w:color="auto" w:sz="4" w:space="0"/>
            </w:tcBorders>
            <w:vAlign w:val="center"/>
          </w:tcPr>
          <w:p>
            <w:pPr>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查BDO运行部</w:t>
            </w:r>
            <w:r>
              <w:rPr>
                <w:rFonts w:hint="eastAsia" w:ascii="宋体" w:hAnsi="宋体" w:eastAsia="宋体" w:cs="宋体"/>
                <w:b w:val="0"/>
                <w:bCs/>
                <w:sz w:val="24"/>
                <w:szCs w:val="24"/>
              </w:rPr>
              <w:t>DCS控制室放置的装置A、B级工艺卡片发布实施日期是2021年7月1日，2022年部分工艺参数已经办理变更手续后进行了调整，但2022年工艺卡片的审批手续仍未完成，导致工艺卡片指标与现场实际控制范围不一致的情况，建议工艺管理部门加快工艺卡片审批速度，缩短空窗期。</w:t>
            </w:r>
          </w:p>
        </w:tc>
        <w:tc>
          <w:tcPr>
            <w:tcW w:w="1542" w:type="dxa"/>
            <w:tcBorders>
              <w:left w:val="single" w:color="auto" w:sz="4" w:space="0"/>
            </w:tcBorders>
            <w:vAlign w:val="center"/>
          </w:tcPr>
          <w:p>
            <w:pPr>
              <w:jc w:val="center"/>
              <w:rPr>
                <w:rFonts w:ascii="方正仿宋简体" w:hAnsi="Times New Roman" w:eastAsia="方正仿宋简体" w:cs="Times New Roman"/>
                <w:b/>
                <w:kern w:val="2"/>
                <w:sz w:val="21"/>
                <w:szCs w:val="24"/>
                <w:lang w:val="en-US" w:eastAsia="zh-CN" w:bidi="ar-SA"/>
              </w:rPr>
            </w:pPr>
            <w:r>
              <w:rPr>
                <w:rFonts w:hint="eastAsia" w:ascii="方正仿宋简体" w:eastAsia="方正仿宋简体"/>
                <w:b/>
                <w:szCs w:val="21"/>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6</w:t>
            </w:r>
          </w:p>
        </w:tc>
        <w:tc>
          <w:tcPr>
            <w:tcW w:w="7722" w:type="dxa"/>
            <w:gridSpan w:val="2"/>
            <w:tcBorders>
              <w:left w:val="single" w:color="auto" w:sz="4" w:space="0"/>
              <w:right w:val="single" w:color="auto" w:sz="4" w:space="0"/>
            </w:tcBorders>
            <w:vAlign w:val="center"/>
          </w:tcPr>
          <w:p>
            <w:pPr>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查热电运行部</w:t>
            </w:r>
            <w:r>
              <w:rPr>
                <w:rFonts w:hint="eastAsia" w:ascii="宋体" w:hAnsi="宋体" w:eastAsia="宋体" w:cs="宋体"/>
                <w:b w:val="0"/>
                <w:bCs/>
                <w:sz w:val="24"/>
                <w:szCs w:val="24"/>
              </w:rPr>
              <w:t>2021年12月20日，公司委托宁夏电力科技有限公司对热电运行部#1锅炉A级检修后热效率进行了测试试验，《试验报告》的结果分析是：在3种不同工况下，锅炉实测热效率均低于锅炉设计效率，并提出了4项改进建议。但目前仍未制定和实施相应改进措施。</w:t>
            </w:r>
          </w:p>
        </w:tc>
        <w:tc>
          <w:tcPr>
            <w:tcW w:w="1542" w:type="dxa"/>
            <w:tcBorders>
              <w:left w:val="single" w:color="auto" w:sz="4" w:space="0"/>
            </w:tcBorders>
            <w:vAlign w:val="center"/>
          </w:tcPr>
          <w:p>
            <w:pPr>
              <w:jc w:val="center"/>
              <w:rPr>
                <w:rFonts w:ascii="Times New Roman" w:hAnsi="Times New Roman" w:eastAsia="宋体" w:cs="Times New Roman"/>
                <w:b/>
                <w:kern w:val="2"/>
                <w:sz w:val="21"/>
                <w:szCs w:val="24"/>
                <w:lang w:val="en-US" w:eastAsia="zh-CN" w:bidi="ar-SA"/>
              </w:rPr>
            </w:pPr>
            <w:r>
              <w:rPr>
                <w:rFonts w:hint="eastAsia" w:ascii="方正仿宋简体" w:eastAsia="方正仿宋简体"/>
                <w:b/>
                <w:szCs w:val="21"/>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jc w:val="center"/>
              <w:rPr>
                <w:rFonts w:hint="default" w:eastAsia="宋体"/>
                <w:lang w:val="en-US" w:eastAsia="zh-CN"/>
              </w:rPr>
            </w:pPr>
            <w:r>
              <w:rPr>
                <w:rFonts w:hint="eastAsia"/>
                <w:lang w:val="en-US" w:eastAsia="zh-CN"/>
              </w:rPr>
              <w:t>7</w:t>
            </w:r>
          </w:p>
        </w:tc>
        <w:tc>
          <w:tcPr>
            <w:tcW w:w="7722" w:type="dxa"/>
            <w:gridSpan w:val="2"/>
            <w:tcBorders>
              <w:left w:val="single" w:color="auto" w:sz="4" w:space="0"/>
              <w:right w:val="single" w:color="auto" w:sz="4" w:space="0"/>
            </w:tcBorders>
            <w:vAlign w:val="center"/>
          </w:tcPr>
          <w:p>
            <w:pPr>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在环保建材部查阅2021年度能源评审报告的其中《表2-5主要用能的能源数据收集计划》，建议：针对水泥装置、烧成装置二个装置的主要能源使用进行识别后提出收集计划。问题 En/6.6</w:t>
            </w:r>
          </w:p>
        </w:tc>
        <w:tc>
          <w:tcPr>
            <w:tcW w:w="1542" w:type="dxa"/>
            <w:tcBorders>
              <w:left w:val="single" w:color="auto" w:sz="4" w:space="0"/>
            </w:tcBorders>
            <w:vAlign w:val="center"/>
          </w:tcPr>
          <w:p>
            <w:pPr>
              <w:jc w:val="center"/>
              <w:rPr>
                <w:rFonts w:hint="eastAsia" w:ascii="Times New Roman" w:hAnsi="Times New Roman" w:eastAsia="宋体" w:cs="Times New Roman"/>
                <w:b w:val="0"/>
                <w:bCs/>
                <w:kern w:val="2"/>
                <w:sz w:val="21"/>
                <w:szCs w:val="24"/>
                <w:lang w:val="en-US" w:eastAsia="zh-CN" w:bidi="ar-SA"/>
              </w:rPr>
            </w:pPr>
            <w:r>
              <w:rPr>
                <w:rFonts w:hint="eastAsia" w:ascii="方正仿宋简体" w:eastAsia="方正仿宋简体"/>
                <w:b/>
                <w:szCs w:val="21"/>
                <w:lang w:val="en-US" w:eastAsia="zh-CN"/>
              </w:rPr>
              <w:t>已与企业沟通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jc w:val="center"/>
              <w:rPr>
                <w:rFonts w:hint="default" w:eastAsia="宋体"/>
                <w:lang w:val="en-US" w:eastAsia="zh-CN"/>
              </w:rPr>
            </w:pPr>
            <w:r>
              <w:rPr>
                <w:rFonts w:hint="eastAsia"/>
                <w:lang w:val="en-US" w:eastAsia="zh-CN"/>
              </w:rPr>
              <w:t>8</w:t>
            </w:r>
          </w:p>
        </w:tc>
        <w:tc>
          <w:tcPr>
            <w:tcW w:w="7722" w:type="dxa"/>
            <w:gridSpan w:val="2"/>
            <w:tcBorders>
              <w:left w:val="single" w:color="auto" w:sz="4" w:space="0"/>
              <w:right w:val="single" w:color="auto" w:sz="4" w:space="0"/>
            </w:tcBorders>
            <w:vAlign w:val="center"/>
          </w:tcPr>
          <w:p>
            <w:pPr>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建议环保建材部在修改工艺指标（其中与能源体系中能源绩效参数-相关变量同一）时，应该在年度的能源评审报告中一并进行修改。</w:t>
            </w:r>
          </w:p>
        </w:tc>
        <w:tc>
          <w:tcPr>
            <w:tcW w:w="1542" w:type="dxa"/>
            <w:tcBorders>
              <w:left w:val="single" w:color="auto" w:sz="4" w:space="0"/>
            </w:tcBorders>
            <w:vAlign w:val="center"/>
          </w:tcPr>
          <w:p>
            <w:pPr>
              <w:jc w:val="center"/>
              <w:rPr>
                <w:rFonts w:hint="eastAsia" w:ascii="方正仿宋简体" w:hAnsi="Times New Roman" w:eastAsia="方正仿宋简体" w:cs="Times New Roman"/>
                <w:b w:val="0"/>
                <w:bCs/>
                <w:kern w:val="2"/>
                <w:sz w:val="21"/>
                <w:szCs w:val="21"/>
                <w:lang w:val="en-US" w:eastAsia="zh-CN" w:bidi="ar-SA"/>
              </w:rPr>
            </w:pPr>
            <w:r>
              <w:rPr>
                <w:rFonts w:hint="eastAsia" w:ascii="方正仿宋简体" w:eastAsia="方正仿宋简体"/>
                <w:b/>
                <w:szCs w:val="21"/>
                <w:lang w:val="en-US" w:eastAsia="zh-CN"/>
              </w:rPr>
              <w:t>已与企业沟通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jc w:val="center"/>
              <w:rPr>
                <w:rFonts w:hint="default" w:eastAsia="宋体"/>
                <w:lang w:val="en-US" w:eastAsia="zh-CN"/>
              </w:rPr>
            </w:pPr>
            <w:r>
              <w:rPr>
                <w:rFonts w:hint="eastAsia"/>
                <w:lang w:val="en-US" w:eastAsia="zh-CN"/>
              </w:rPr>
              <w:t>9</w:t>
            </w:r>
          </w:p>
        </w:tc>
        <w:tc>
          <w:tcPr>
            <w:tcW w:w="7722" w:type="dxa"/>
            <w:gridSpan w:val="2"/>
            <w:tcBorders>
              <w:left w:val="single" w:color="auto" w:sz="4" w:space="0"/>
              <w:right w:val="single" w:color="auto" w:sz="4" w:space="0"/>
            </w:tcBorders>
            <w:vAlign w:val="center"/>
          </w:tcPr>
          <w:p>
            <w:pPr>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建议环保建材部应与设备工程部、电仪中心沟通加快与第三方主要耗能设备测试合同的签订，完善本周期主要耗能设备的测试计划与实施。</w:t>
            </w:r>
          </w:p>
        </w:tc>
        <w:tc>
          <w:tcPr>
            <w:tcW w:w="1542" w:type="dxa"/>
            <w:tcBorders>
              <w:left w:val="single" w:color="auto" w:sz="4" w:space="0"/>
            </w:tcBorders>
            <w:vAlign w:val="center"/>
          </w:tcPr>
          <w:p>
            <w:pPr>
              <w:jc w:val="center"/>
              <w:rPr>
                <w:rFonts w:ascii="Times New Roman" w:hAnsi="Times New Roman" w:eastAsia="宋体" w:cs="Times New Roman"/>
                <w:b w:val="0"/>
                <w:bCs/>
                <w:kern w:val="2"/>
                <w:sz w:val="21"/>
                <w:szCs w:val="24"/>
                <w:lang w:val="en-US" w:eastAsia="zh-CN" w:bidi="ar-SA"/>
              </w:rPr>
            </w:pPr>
            <w:r>
              <w:rPr>
                <w:rFonts w:hint="eastAsia" w:ascii="方正仿宋简体" w:eastAsia="方正仿宋简体"/>
                <w:b/>
                <w:szCs w:val="21"/>
                <w:lang w:val="en-US" w:eastAsia="zh-CN"/>
              </w:rPr>
              <w:t>已与企业沟通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jc w:val="center"/>
              <w:rPr>
                <w:rFonts w:hint="default" w:eastAsia="宋体"/>
                <w:lang w:val="en-US" w:eastAsia="zh-CN"/>
              </w:rPr>
            </w:pPr>
            <w:r>
              <w:rPr>
                <w:rFonts w:hint="eastAsia"/>
                <w:lang w:val="en-US" w:eastAsia="zh-CN"/>
              </w:rPr>
              <w:t>10</w:t>
            </w:r>
          </w:p>
        </w:tc>
        <w:tc>
          <w:tcPr>
            <w:tcW w:w="7722" w:type="dxa"/>
            <w:gridSpan w:val="2"/>
            <w:tcBorders>
              <w:left w:val="single" w:color="auto" w:sz="4" w:space="0"/>
              <w:right w:val="single" w:color="auto" w:sz="4" w:space="0"/>
            </w:tcBorders>
            <w:vAlign w:val="center"/>
          </w:tcPr>
          <w:p>
            <w:pPr>
              <w:jc w:val="left"/>
              <w:rPr>
                <w:rFonts w:hint="eastAsia" w:ascii="宋体" w:hAnsi="宋体" w:eastAsia="宋体" w:cs="宋体"/>
                <w:b w:val="0"/>
                <w:bCs/>
                <w:color w:val="000000" w:themeColor="text1"/>
                <w:kern w:val="2"/>
                <w:sz w:val="24"/>
                <w:szCs w:val="24"/>
                <w:lang w:val="en-US" w:eastAsia="zh-CN" w:bidi="ar-SA"/>
              </w:rPr>
            </w:pPr>
            <w:r>
              <w:rPr>
                <w:rFonts w:hint="eastAsia" w:ascii="宋体" w:hAnsi="宋体" w:eastAsia="宋体" w:cs="宋体"/>
                <w:b w:val="0"/>
                <w:bCs/>
                <w:color w:val="000000" w:themeColor="text1"/>
                <w:sz w:val="24"/>
                <w:szCs w:val="24"/>
                <w:lang w:val="en-US" w:eastAsia="zh-CN"/>
              </w:rPr>
              <w:t>建议设备工程部收集各运行作业部主要耗能设备的能源绩效参数-相关变量（设备部分），如同工艺指标一样予以监管考核。</w:t>
            </w:r>
          </w:p>
        </w:tc>
        <w:tc>
          <w:tcPr>
            <w:tcW w:w="1542" w:type="dxa"/>
            <w:tcBorders>
              <w:left w:val="single" w:color="auto" w:sz="4" w:space="0"/>
            </w:tcBorders>
            <w:vAlign w:val="center"/>
          </w:tcPr>
          <w:p>
            <w:pPr>
              <w:jc w:val="center"/>
              <w:rPr>
                <w:rFonts w:hint="default" w:ascii="Times New Roman" w:hAnsi="Times New Roman" w:eastAsia="宋体" w:cs="Times New Roman"/>
                <w:b w:val="0"/>
                <w:bCs/>
                <w:kern w:val="2"/>
                <w:sz w:val="21"/>
                <w:szCs w:val="24"/>
                <w:lang w:val="en-US" w:eastAsia="zh-CN" w:bidi="ar-SA"/>
              </w:rPr>
            </w:pPr>
            <w:r>
              <w:rPr>
                <w:rFonts w:hint="eastAsia" w:ascii="方正仿宋简体" w:eastAsia="方正仿宋简体"/>
                <w:b/>
                <w:szCs w:val="21"/>
                <w:lang w:val="en-US" w:eastAsia="zh-CN"/>
              </w:rPr>
              <w:t>已与企业沟通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03" w:type="dxa"/>
            <w:tcBorders>
              <w:right w:val="single" w:color="auto" w:sz="4" w:space="0"/>
            </w:tcBorders>
            <w:vAlign w:val="center"/>
          </w:tcPr>
          <w:p>
            <w:pPr>
              <w:jc w:val="center"/>
              <w:rPr>
                <w:rFonts w:hint="default" w:eastAsia="宋体"/>
                <w:lang w:val="en-US" w:eastAsia="zh-CN"/>
              </w:rPr>
            </w:pPr>
            <w:r>
              <w:rPr>
                <w:rFonts w:hint="eastAsia"/>
                <w:lang w:val="en-US" w:eastAsia="zh-CN"/>
              </w:rPr>
              <w:t>11</w:t>
            </w:r>
          </w:p>
        </w:tc>
        <w:tc>
          <w:tcPr>
            <w:tcW w:w="7722" w:type="dxa"/>
            <w:gridSpan w:val="2"/>
            <w:tcBorders>
              <w:left w:val="single" w:color="auto" w:sz="4" w:space="0"/>
              <w:right w:val="single" w:color="auto" w:sz="4" w:space="0"/>
            </w:tcBorders>
            <w:vAlign w:val="center"/>
          </w:tcPr>
          <w:p>
            <w:pPr>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未能提供对主要耗能设备能效测试报告</w:t>
            </w:r>
          </w:p>
        </w:tc>
        <w:tc>
          <w:tcPr>
            <w:tcW w:w="1542" w:type="dxa"/>
            <w:tcBorders>
              <w:left w:val="single" w:color="auto" w:sz="4" w:space="0"/>
            </w:tcBorders>
            <w:vAlign w:val="center"/>
          </w:tcPr>
          <w:p>
            <w:r>
              <w:rPr>
                <w:rFonts w:hint="eastAsia" w:ascii="方正仿宋简体" w:eastAsia="方正仿宋简体"/>
                <w:b/>
                <w:szCs w:val="21"/>
                <w:lang w:val="en-US" w:eastAsia="zh-CN"/>
              </w:rPr>
              <w:t>已与企业沟通</w:t>
            </w:r>
          </w:p>
        </w:tc>
      </w:tr>
    </w:tbl>
    <w:p>
      <w:bookmarkStart w:id="10" w:name="_GoBack"/>
      <w:bookmarkEnd w:id="10"/>
    </w:p>
    <w:sectPr>
      <w:headerReference r:id="rId3" w:type="default"/>
      <w:footerReference r:id="rId4"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sz w:val="18"/>
      </w:rPr>
    </w:pPr>
    <w:r>
      <w:drawing>
        <wp:anchor distT="0" distB="0" distL="114300" distR="114300" simplePos="0" relativeHeight="251660288"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3" o:spid="_x0000_s3073" o:spt="202" type="#_x0000_t202" style="position:absolute;left:0pt;margin-left:394pt;margin-top:11.35pt;height:19.9pt;width:95.7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ISC-B-II-18(05版）</w:t>
                </w:r>
              </w:p>
            </w:txbxContent>
          </v:textbox>
        </v:shape>
      </w:pict>
    </w:r>
    <w:r>
      <w:rPr>
        <w:rStyle w:val="10"/>
        <w:rFonts w:hint="default"/>
        <w:sz w:val="18"/>
      </w:rPr>
      <w:t>北京国标联合认证有限公司</w:t>
    </w:r>
    <w:r>
      <w:rPr>
        <w:rStyle w:val="10"/>
        <w:rFonts w:hint="default"/>
        <w:sz w:val="18"/>
      </w:rPr>
      <w:tab/>
    </w:r>
    <w:r>
      <w:rPr>
        <w:rStyle w:val="10"/>
        <w:rFonts w:hint="default"/>
        <w:sz w:val="18"/>
      </w:rPr>
      <w:tab/>
    </w:r>
    <w:r>
      <w:rPr>
        <w:rStyle w:val="10"/>
        <w:rFonts w:hint="default"/>
        <w:sz w:val="18"/>
      </w:rPr>
      <w:tab/>
    </w:r>
  </w:p>
  <w:p>
    <w:pPr>
      <w:pStyle w:val="4"/>
      <w:pBdr>
        <w:bottom w:val="single" w:color="auto" w:sz="4" w:space="1"/>
      </w:pBdr>
      <w:spacing w:line="320" w:lineRule="exact"/>
      <w:ind w:firstLine="727" w:firstLineChars="449"/>
      <w:jc w:val="left"/>
    </w:pPr>
    <w:r>
      <w:rPr>
        <w:rStyle w:val="10"/>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2M2U3NTMzODZhMjBkOTU2MGMyNzdkMjI0ZmFjMGQifQ=="/>
  </w:docVars>
  <w:rsids>
    <w:rsidRoot w:val="00A07443"/>
    <w:rsid w:val="00034171"/>
    <w:rsid w:val="00074902"/>
    <w:rsid w:val="000C75E5"/>
    <w:rsid w:val="001000B2"/>
    <w:rsid w:val="00113A71"/>
    <w:rsid w:val="00146BE8"/>
    <w:rsid w:val="001C0B5E"/>
    <w:rsid w:val="0024436A"/>
    <w:rsid w:val="00292EC7"/>
    <w:rsid w:val="002B6E06"/>
    <w:rsid w:val="002D779C"/>
    <w:rsid w:val="002E39BC"/>
    <w:rsid w:val="003D0703"/>
    <w:rsid w:val="003D2460"/>
    <w:rsid w:val="00462ABE"/>
    <w:rsid w:val="00490844"/>
    <w:rsid w:val="004F663F"/>
    <w:rsid w:val="00533FD6"/>
    <w:rsid w:val="0056283D"/>
    <w:rsid w:val="00587DEE"/>
    <w:rsid w:val="005A7071"/>
    <w:rsid w:val="005B1577"/>
    <w:rsid w:val="005C01FB"/>
    <w:rsid w:val="00601B07"/>
    <w:rsid w:val="00634412"/>
    <w:rsid w:val="006A1C0B"/>
    <w:rsid w:val="006B25FF"/>
    <w:rsid w:val="006C7DE0"/>
    <w:rsid w:val="006D0C11"/>
    <w:rsid w:val="00784F5A"/>
    <w:rsid w:val="007D38CB"/>
    <w:rsid w:val="00814795"/>
    <w:rsid w:val="00857EEE"/>
    <w:rsid w:val="0089199D"/>
    <w:rsid w:val="008B2581"/>
    <w:rsid w:val="008E14C4"/>
    <w:rsid w:val="00957CC8"/>
    <w:rsid w:val="00993C1A"/>
    <w:rsid w:val="009E6712"/>
    <w:rsid w:val="00A01FFE"/>
    <w:rsid w:val="00A07443"/>
    <w:rsid w:val="00A22849"/>
    <w:rsid w:val="00A5272A"/>
    <w:rsid w:val="00A8236D"/>
    <w:rsid w:val="00A82950"/>
    <w:rsid w:val="00AB2907"/>
    <w:rsid w:val="00AE1510"/>
    <w:rsid w:val="00B0557A"/>
    <w:rsid w:val="00B167AC"/>
    <w:rsid w:val="00B72D06"/>
    <w:rsid w:val="00C814B6"/>
    <w:rsid w:val="00CF5642"/>
    <w:rsid w:val="00D206DA"/>
    <w:rsid w:val="00D57A1B"/>
    <w:rsid w:val="00D95BCA"/>
    <w:rsid w:val="00D97F7B"/>
    <w:rsid w:val="00E86971"/>
    <w:rsid w:val="00EE309A"/>
    <w:rsid w:val="00EF782B"/>
    <w:rsid w:val="00F411C8"/>
    <w:rsid w:val="00FD3738"/>
    <w:rsid w:val="16925D71"/>
    <w:rsid w:val="1ABC3BB5"/>
    <w:rsid w:val="1B8859C1"/>
    <w:rsid w:val="20D72887"/>
    <w:rsid w:val="2A245D70"/>
    <w:rsid w:val="2B105DCD"/>
    <w:rsid w:val="2EF33451"/>
    <w:rsid w:val="36A506E2"/>
    <w:rsid w:val="445109E4"/>
    <w:rsid w:val="50D90EFB"/>
    <w:rsid w:val="5B142A9E"/>
    <w:rsid w:val="67BC6015"/>
    <w:rsid w:val="686D3B7D"/>
    <w:rsid w:val="6FF718FF"/>
    <w:rsid w:val="773F2AC6"/>
    <w:rsid w:val="FFB6CDD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line="360" w:lineRule="auto"/>
      <w:ind w:firstLine="200" w:firstLineChars="200"/>
      <w:outlineLvl w:val="1"/>
    </w:pPr>
    <w:rPr>
      <w:rFonts w:ascii="Cambria" w:hAnsi="Cambria"/>
      <w:b/>
      <w:bCs/>
      <w:sz w:val="24"/>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rFonts w:ascii="Times New Roman" w:hAnsi="Times New Roman" w:eastAsia="宋体" w:cs="Times New Roman"/>
      <w:kern w:val="2"/>
      <w:sz w:val="18"/>
      <w:szCs w:val="18"/>
    </w:rPr>
  </w:style>
  <w:style w:type="character" w:customStyle="1" w:styleId="9">
    <w:name w:val="页脚 字符"/>
    <w:basedOn w:val="7"/>
    <w:link w:val="3"/>
    <w:qFormat/>
    <w:uiPriority w:val="99"/>
    <w:rPr>
      <w:rFonts w:ascii="Times New Roman" w:hAnsi="Times New Roman" w:eastAsia="宋体" w:cs="Times New Roman"/>
      <w:kern w:val="2"/>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样式 标题 2"/>
    <w:basedOn w:val="2"/>
    <w:qFormat/>
    <w:uiPriority w:val="0"/>
    <w:pPr>
      <w:snapToGrid w:val="0"/>
      <w:spacing w:before="120" w:after="120" w:line="240" w:lineRule="auto"/>
    </w:pPr>
    <w:rPr>
      <w:rFonts w:ascii="Calibri" w:hAnsi="Calibri" w:cs="宋体"/>
      <w:lang w:val="zh-CN"/>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2</Pages>
  <Words>1208</Words>
  <Characters>1395</Characters>
  <Lines>5</Lines>
  <Paragraphs>1</Paragraphs>
  <TotalTime>0</TotalTime>
  <ScaleCrop>false</ScaleCrop>
  <LinksUpToDate>false</LinksUpToDate>
  <CharactersWithSpaces>1420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2016-08-11T09:15:00Z</dcterms:created>
  <dc:creator>User</dc:creator>
  <cp:lastModifiedBy>马加</cp:lastModifiedBy>
  <dcterms:modified xsi:type="dcterms:W3CDTF">2022-09-18T16:08:25Z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2052-11.1.0.12313</vt:lpwstr>
  </property>
</Properties>
</file>