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-278765</wp:posOffset>
            </wp:positionH>
            <wp:positionV relativeFrom="paragraph">
              <wp:posOffset>-689610</wp:posOffset>
            </wp:positionV>
            <wp:extent cx="7395210" cy="10475595"/>
            <wp:effectExtent l="0" t="0" r="8890" b="1905"/>
            <wp:wrapNone/>
            <wp:docPr id="1" name="图片 1" descr="扫描全能王 2022-08-17 16.59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17 16.59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5210" cy="1047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0705-2021-2022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64"/>
        <w:gridCol w:w="1350"/>
        <w:gridCol w:w="1028"/>
        <w:gridCol w:w="1275"/>
        <w:gridCol w:w="1657"/>
        <w:gridCol w:w="1450"/>
        <w:gridCol w:w="1230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西安西电高压套管有限公司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测量设备名称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检定/校准机构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检定/校准日期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符合打√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生产中心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高压校正脉冲发生器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1206X0026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TWPD-03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superscrip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</w:rPr>
              <w:t>×10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superscript"/>
                <w:lang w:eastAsia="zh-Hans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LCR数字电桥±0.05%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西安高压电器研究院股份有限公司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生产中心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全自动绝缘油介质电强度测定仪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0910110199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6801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=0.06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精密电压互感器0.02级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河北省计量监督监测研究院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2021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生产中心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工频试验变压器成套装置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2082002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JF-1205B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=0.4%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工频电压测量系统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superscrip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=3.3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×10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superscript"/>
                <w:lang w:val="en-US" w:eastAsia="zh-Hans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西安高压电器研究院股份有限公司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.3.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生产中心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冲击电压发射器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147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SGD4000/400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%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</w:rPr>
              <w:t>标准冲击分压器0.2级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西安高压电器研究院股份有限公司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生产中心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颗粒计数器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AC05006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Abakus 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Hans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=1.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%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油中颗粒标准物质U=10%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国防科技工业颗粒度一级计量站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生产中心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高精密高压电容电桥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019118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YBQS30A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superscript"/>
                <w:lang w:eastAsia="zh-Hans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=1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</w:rPr>
              <w:t>5×10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superscript"/>
                <w:lang w:eastAsia="zh-Hans"/>
              </w:rPr>
              <w:t>-4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superscript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标准空气电容器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=5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</w:rPr>
              <w:t>×10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superscript"/>
                <w:lang w:eastAsia="zh-Hans"/>
              </w:rPr>
              <w:t>-5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西安高压电器研究院股份有限公司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生产中心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微机控制卧式拉力试验机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2009056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WLE-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级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标准测力仪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陕西省计量科学研究院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生产中心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液压弯扭试验机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LSV0903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GP-LSV2000S/L125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1级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标准测力仪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陕西省计量科学研究院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2.7.5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Hans"/>
              </w:rPr>
              <w:t>公司未建最高计量标准，测量设备由生产中心负责溯源。公司测量设备除全部委托陕西省计量科学院，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西安高压电器研究院股份有限公司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河北省计量监督监测研究院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Hans"/>
              </w:rPr>
              <w:t>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国防科技工业颗粒度一级计量站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Hans"/>
              </w:rPr>
              <w:t>等机构检定/校准，校准/检定证书由生产中心保存。根据抽查情况，该公司的校准情况符合溯源性要求。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 xml:space="preserve">审核日期：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 xml:space="preserve">审核员签字：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 xml:space="preserve">  部门代表签字： 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</w:tr>
    </w:tbl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BA461C0"/>
    <w:rsid w:val="24450EF0"/>
    <w:rsid w:val="28262BD6"/>
    <w:rsid w:val="36E43ABA"/>
    <w:rsid w:val="52A46774"/>
    <w:rsid w:val="53250D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669</Words>
  <Characters>927</Characters>
  <Lines>3</Lines>
  <Paragraphs>1</Paragraphs>
  <TotalTime>1</TotalTime>
  <ScaleCrop>false</ScaleCrop>
  <LinksUpToDate>false</LinksUpToDate>
  <CharactersWithSpaces>990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2022-08-17T09:09:59Z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FC1BFAF9241145519AF0D7521DC74AD4</vt:lpwstr>
  </property>
</Properties>
</file>