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0964-2022-EnMS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成都声浮科技有限公司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成都声浮科技有限公司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中国（四川）自由贸易试验区成都高新区天府大道中段530号2栋1806号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成都市温江区科兴路西段6</w:t>
            </w:r>
            <w:r>
              <w:rPr>
                <w:rFonts w:hint="eastAsia"/>
                <w:lang w:val="en-US" w:eastAsia="zh-CN"/>
              </w:rPr>
              <w:t>8</w:t>
            </w:r>
            <w:r>
              <w:t>8号</w:t>
            </w:r>
            <w:r>
              <w:rPr>
                <w:rFonts w:hint="eastAsia"/>
                <w:lang w:val="en-US" w:eastAsia="zh-CN"/>
              </w:rPr>
              <w:t>华银工业港</w:t>
            </w:r>
            <w:r>
              <w:t>12区2号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罗勇</w:t>
            </w:r>
            <w:bookmarkEnd w:id="10"/>
          </w:p>
        </w:tc>
        <w:tc>
          <w:tcPr>
            <w:tcW w:w="1313" w:type="dxa"/>
            <w:vAlign w:val="center"/>
          </w:tcPr>
          <w:p>
            <w:r>
              <w:rPr>
                <w:rFonts w:hint="eastAsia"/>
              </w:rPr>
              <w:t>电话.</w:t>
            </w:r>
          </w:p>
        </w:tc>
        <w:tc>
          <w:tcPr>
            <w:tcW w:w="2180" w:type="dxa"/>
            <w:vAlign w:val="center"/>
          </w:tcPr>
          <w:p>
            <w:bookmarkStart w:id="11" w:name="联系人电话"/>
            <w:r>
              <w:t>13308028557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刘建东</w:t>
            </w:r>
            <w:bookmarkEnd w:id="13"/>
          </w:p>
        </w:tc>
        <w:tc>
          <w:tcPr>
            <w:tcW w:w="1313" w:type="dxa"/>
            <w:vAlign w:val="center"/>
          </w:tcPr>
          <w:p>
            <w:r>
              <w:rPr>
                <w:rFonts w:hint="eastAsia"/>
              </w:rPr>
              <w:t>管理者代表</w:t>
            </w:r>
          </w:p>
        </w:tc>
        <w:tc>
          <w:tcPr>
            <w:tcW w:w="2180" w:type="dxa"/>
          </w:tcPr>
          <w:p>
            <w:bookmarkStart w:id="14" w:name="管理者代表"/>
            <w:r>
              <w:t>罗勇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shd w:val="clear"/>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both"/>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销售流程：</w:t>
            </w:r>
          </w:p>
          <w:p>
            <w:pPr>
              <w:snapToGrid w:val="0"/>
              <w:spacing w:line="280" w:lineRule="exact"/>
              <w:jc w:val="both"/>
              <w:rPr>
                <w:rFonts w:hint="default"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接到客户业务咨询（资料图纸）→订单确定与客户签订合同→与供应商沟通→签订采购合同（支付预付款）→产品入库（供应商）→货物验收→发货物流安排到客户→客户提货、交货、验货（支付余款）→清算、交易结束</w:t>
            </w:r>
          </w:p>
          <w:p>
            <w:pPr>
              <w:snapToGrid w:val="0"/>
              <w:spacing w:line="280" w:lineRule="exact"/>
              <w:jc w:val="both"/>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 xml:space="preserve">研发流程： </w:t>
            </w:r>
          </w:p>
          <w:p>
            <w:pPr>
              <w:rPr>
                <w:color w:val="000000"/>
                <w:szCs w:val="18"/>
              </w:rPr>
            </w:pPr>
            <w:r>
              <w:rPr>
                <w:rFonts w:hint="eastAsia" w:ascii="Times New Roman" w:hAnsi="Times New Roman" w:eastAsia="宋体" w:cs="Times New Roman"/>
                <w:b/>
                <w:sz w:val="20"/>
                <w:lang w:val="en-US" w:eastAsia="zh-CN"/>
              </w:rPr>
              <w:t>制定计划→方案分析→研发计划→搭建研发小组→研发产品工艺流程图→小批量生产与工艺持续优化改进→中批量生产与客户试用</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2022年08月16日 上午至2022年08月17日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vAlign w:val="top"/>
          </w:tcPr>
          <w:p>
            <w:r>
              <w:rPr>
                <w:rFonts w:hint="eastAsia"/>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vAlign w:val="top"/>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 xml:space="preserve">/ISO 9001:2015  </w:t>
            </w:r>
            <w:r>
              <w:rPr>
                <w:rFonts w:hint="eastAsia"/>
                <w:lang w:val="de-DE"/>
              </w:rPr>
              <w:t>□GB/T 50430-2017</w:t>
            </w:r>
          </w:p>
          <w:p>
            <w:pPr>
              <w:rPr>
                <w:lang w:val="de-DE"/>
              </w:rPr>
            </w:pPr>
            <w:r>
              <w:rPr>
                <w:rFonts w:hint="eastAsia"/>
                <w:lang w:val="de-DE"/>
              </w:rPr>
              <w:t>□GB/T24001-2016</w:t>
            </w:r>
            <w:r>
              <w:rPr>
                <w:rFonts w:hint="eastAsia"/>
              </w:rPr>
              <w:t xml:space="preserve">/ISO 14001:2015 </w:t>
            </w:r>
            <w:r>
              <w:rPr>
                <w:rFonts w:hint="eastAsia"/>
                <w:lang w:val="de-DE"/>
              </w:rPr>
              <w:t>□</w:t>
            </w:r>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lang w:val="de-DE"/>
              </w:rPr>
              <w:t>RB/T</w:t>
            </w:r>
            <w:r>
              <w:rPr>
                <w:rFonts w:hint="eastAsia"/>
                <w:lang w:val="en-US" w:eastAsia="zh-CN"/>
              </w:rPr>
              <w:t>101-2013</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审核类型</w:t>
            </w:r>
          </w:p>
        </w:tc>
        <w:tc>
          <w:tcPr>
            <w:tcW w:w="7831" w:type="dxa"/>
            <w:gridSpan w:val="3"/>
            <w:tcMar>
              <w:left w:w="113" w:type="dxa"/>
            </w:tcMar>
            <w:vAlign w:val="top"/>
          </w:tcPr>
          <w:p>
            <w:r>
              <w:rPr>
                <w:rFonts w:hint="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top"/>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ascii="宋体"/>
                <w:b/>
                <w:color w:val="0000FF"/>
                <w:szCs w:val="21"/>
              </w:rPr>
            </w:pPr>
            <w:r>
              <w:rPr>
                <w:rFonts w:hint="eastAsia" w:ascii="宋体"/>
                <w:b/>
                <w:color w:val="0000FF"/>
                <w:szCs w:val="21"/>
                <w:lang w:val="en-US" w:eastAsia="zh-CN"/>
              </w:rPr>
              <w:t>河北省石家庄市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16" w:name="审核范围"/>
            <w:r>
              <w:t>超声波流量计、超声波水表的研发和销售，计算机软件开发和销售所涉及的能源管理活动</w:t>
            </w:r>
            <w:bookmarkEnd w:id="1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17" w:name="专业代码"/>
            <w:r>
              <w:t>2.10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16</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315"/>
        <w:gridCol w:w="544"/>
        <w:gridCol w:w="2656"/>
        <w:gridCol w:w="179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315" w:type="dxa"/>
            <w:shd w:val="clear" w:color="auto" w:fill="F3F3F3"/>
            <w:tcMar>
              <w:left w:w="57" w:type="dxa"/>
              <w:right w:w="57" w:type="dxa"/>
            </w:tcMar>
          </w:tcPr>
          <w:p>
            <w:r>
              <w:rPr>
                <w:rFonts w:hint="eastAsia"/>
              </w:rPr>
              <w:t>经营场所的地址</w:t>
            </w:r>
          </w:p>
          <w:p>
            <w:r>
              <w:rPr>
                <w:rFonts w:hint="eastAsia"/>
              </w:rPr>
              <w:t>（多现场和临时现场）</w:t>
            </w:r>
          </w:p>
        </w:tc>
        <w:tc>
          <w:tcPr>
            <w:tcW w:w="544" w:type="dxa"/>
            <w:shd w:val="clear" w:color="auto" w:fill="F3F3F3"/>
            <w:tcMar>
              <w:left w:w="57" w:type="dxa"/>
              <w:right w:w="57" w:type="dxa"/>
            </w:tcMar>
          </w:tcPr>
          <w:p>
            <w:r>
              <w:rPr>
                <w:rFonts w:hint="eastAsia"/>
              </w:rPr>
              <w:t>员工人数</w:t>
            </w:r>
          </w:p>
        </w:tc>
        <w:tc>
          <w:tcPr>
            <w:tcW w:w="2656"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9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成都声浮科技有限公司</w:t>
            </w:r>
            <w:r>
              <w:rPr>
                <w:rFonts w:hint="eastAsia"/>
                <w:sz w:val="21"/>
                <w:szCs w:val="21"/>
                <w:lang w:val="en-US" w:eastAsia="zh-CN"/>
              </w:rPr>
              <w:t>/</w:t>
            </w:r>
            <w:r>
              <w:rPr>
                <w:sz w:val="21"/>
                <w:szCs w:val="21"/>
              </w:rPr>
              <w:t>中国（四川）自由贸易试验区成都高新区天府大道中段530号2栋1806号</w:t>
            </w:r>
          </w:p>
        </w:tc>
        <w:tc>
          <w:tcPr>
            <w:tcW w:w="1315" w:type="dxa"/>
            <w:vAlign w:val="top"/>
          </w:tcPr>
          <w:p>
            <w:pPr>
              <w:spacing w:before="40" w:after="40"/>
              <w:rPr>
                <w:lang w:val="de-DE" w:eastAsia="ja-JP"/>
              </w:rPr>
            </w:pPr>
            <w:r>
              <w:rPr>
                <w:sz w:val="21"/>
                <w:szCs w:val="21"/>
              </w:rPr>
              <w:t>成都市温江区科兴路西段6</w:t>
            </w:r>
            <w:r>
              <w:rPr>
                <w:rFonts w:hint="eastAsia"/>
                <w:sz w:val="21"/>
                <w:szCs w:val="21"/>
                <w:lang w:val="en-US" w:eastAsia="zh-CN"/>
              </w:rPr>
              <w:t>8</w:t>
            </w:r>
            <w:r>
              <w:rPr>
                <w:sz w:val="21"/>
                <w:szCs w:val="21"/>
              </w:rPr>
              <w:t>8号</w:t>
            </w:r>
            <w:r>
              <w:rPr>
                <w:rFonts w:hint="eastAsia"/>
                <w:sz w:val="21"/>
                <w:szCs w:val="21"/>
                <w:lang w:val="en-US" w:eastAsia="zh-CN"/>
              </w:rPr>
              <w:t>华银工业港</w:t>
            </w:r>
            <w:r>
              <w:rPr>
                <w:sz w:val="21"/>
                <w:szCs w:val="21"/>
              </w:rPr>
              <w:t>12区2号</w:t>
            </w:r>
          </w:p>
        </w:tc>
        <w:tc>
          <w:tcPr>
            <w:tcW w:w="544" w:type="dxa"/>
            <w:vAlign w:val="center"/>
          </w:tcPr>
          <w:p>
            <w:pPr>
              <w:spacing w:before="40" w:after="40"/>
              <w:rPr>
                <w:lang w:eastAsia="ja-JP"/>
              </w:rPr>
            </w:pPr>
            <w:r>
              <w:rPr>
                <w:rFonts w:hint="eastAsia" w:eastAsia="黑体"/>
                <w:szCs w:val="21"/>
                <w:lang w:val="en-US" w:eastAsia="zh-CN"/>
              </w:rPr>
              <w:t>8人</w:t>
            </w:r>
          </w:p>
        </w:tc>
        <w:tc>
          <w:tcPr>
            <w:tcW w:w="2656" w:type="dxa"/>
            <w:vAlign w:val="center"/>
          </w:tcPr>
          <w:p>
            <w:pPr>
              <w:pStyle w:val="21"/>
              <w:rPr>
                <w:lang w:eastAsia="ja-JP"/>
              </w:rPr>
            </w:pPr>
            <w:r>
              <w:t>超声波流量计、超声波水表的研发和销售，计算机软件开发和销售所涉及的能源管理活动</w:t>
            </w:r>
          </w:p>
        </w:tc>
        <w:tc>
          <w:tcPr>
            <w:tcW w:w="1795" w:type="dxa"/>
            <w:vAlign w:val="center"/>
          </w:tcPr>
          <w:p>
            <w:pPr>
              <w:spacing w:before="40" w:after="40"/>
              <w:rPr>
                <w:rFonts w:hint="eastAsia"/>
                <w:lang w:val="en-US" w:eastAsia="zh-CN"/>
              </w:rPr>
            </w:pPr>
            <w:r>
              <w:rPr>
                <w:rFonts w:hint="eastAsia"/>
                <w:lang w:val="en-US" w:eastAsia="zh-CN"/>
              </w:rPr>
              <w:t>GB/T23331-2020</w:t>
            </w:r>
          </w:p>
          <w:p>
            <w:pPr>
              <w:spacing w:before="40" w:after="40"/>
              <w:rPr>
                <w:lang w:eastAsia="ja-JP"/>
              </w:rPr>
            </w:pPr>
            <w:r>
              <w:rPr>
                <w:rFonts w:hint="eastAsia" w:eastAsia="黑体"/>
                <w:szCs w:val="21"/>
                <w:lang w:val="en-US" w:eastAsia="zh-CN"/>
              </w:rPr>
              <w:t>RB/T101-2013</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315" w:type="dxa"/>
            <w:vAlign w:val="center"/>
          </w:tcPr>
          <w:p>
            <w:pPr>
              <w:rPr>
                <w:lang w:eastAsia="ja-JP"/>
              </w:rPr>
            </w:pPr>
          </w:p>
        </w:tc>
        <w:tc>
          <w:tcPr>
            <w:tcW w:w="544" w:type="dxa"/>
            <w:vAlign w:val="center"/>
          </w:tcPr>
          <w:p>
            <w:pPr>
              <w:rPr>
                <w:lang w:eastAsia="ja-JP"/>
              </w:rPr>
            </w:pPr>
          </w:p>
        </w:tc>
        <w:tc>
          <w:tcPr>
            <w:tcW w:w="2656" w:type="dxa"/>
            <w:vAlign w:val="center"/>
          </w:tcPr>
          <w:p>
            <w:pPr>
              <w:rPr>
                <w:lang w:eastAsia="ja-JP"/>
              </w:rPr>
            </w:pPr>
          </w:p>
        </w:tc>
        <w:tc>
          <w:tcPr>
            <w:tcW w:w="179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315" w:type="dxa"/>
            <w:vAlign w:val="center"/>
          </w:tcPr>
          <w:p>
            <w:pPr>
              <w:rPr>
                <w:lang w:eastAsia="ja-JP"/>
              </w:rPr>
            </w:pPr>
          </w:p>
        </w:tc>
        <w:tc>
          <w:tcPr>
            <w:tcW w:w="544" w:type="dxa"/>
            <w:vAlign w:val="center"/>
          </w:tcPr>
          <w:p>
            <w:pPr>
              <w:rPr>
                <w:lang w:eastAsia="ja-JP"/>
              </w:rPr>
            </w:pPr>
          </w:p>
        </w:tc>
        <w:tc>
          <w:tcPr>
            <w:tcW w:w="2656" w:type="dxa"/>
            <w:vAlign w:val="center"/>
          </w:tcPr>
          <w:p>
            <w:pPr>
              <w:rPr>
                <w:lang w:eastAsia="ja-JP"/>
              </w:rPr>
            </w:pPr>
          </w:p>
        </w:tc>
        <w:tc>
          <w:tcPr>
            <w:tcW w:w="179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315" w:type="dxa"/>
            <w:vAlign w:val="center"/>
          </w:tcPr>
          <w:p>
            <w:pPr>
              <w:rPr>
                <w:lang w:eastAsia="ja-JP"/>
              </w:rPr>
            </w:pPr>
          </w:p>
        </w:tc>
        <w:tc>
          <w:tcPr>
            <w:tcW w:w="544" w:type="dxa"/>
            <w:vAlign w:val="center"/>
          </w:tcPr>
          <w:p>
            <w:pPr>
              <w:rPr>
                <w:lang w:eastAsia="ja-JP"/>
              </w:rPr>
            </w:pPr>
          </w:p>
        </w:tc>
        <w:tc>
          <w:tcPr>
            <w:tcW w:w="2656" w:type="dxa"/>
            <w:vAlign w:val="center"/>
          </w:tcPr>
          <w:p>
            <w:pPr>
              <w:rPr>
                <w:lang w:eastAsia="ja-JP"/>
              </w:rPr>
            </w:pPr>
          </w:p>
        </w:tc>
        <w:tc>
          <w:tcPr>
            <w:tcW w:w="179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315" w:type="dxa"/>
            <w:vAlign w:val="center"/>
          </w:tcPr>
          <w:p>
            <w:pPr>
              <w:rPr>
                <w:lang w:eastAsia="ja-JP"/>
              </w:rPr>
            </w:pPr>
          </w:p>
        </w:tc>
        <w:tc>
          <w:tcPr>
            <w:tcW w:w="544" w:type="dxa"/>
            <w:vAlign w:val="center"/>
          </w:tcPr>
          <w:p>
            <w:pPr>
              <w:rPr>
                <w:lang w:eastAsia="ja-JP"/>
              </w:rPr>
            </w:pPr>
          </w:p>
        </w:tc>
        <w:tc>
          <w:tcPr>
            <w:tcW w:w="2656" w:type="dxa"/>
            <w:vAlign w:val="center"/>
          </w:tcPr>
          <w:p>
            <w:pPr>
              <w:rPr>
                <w:lang w:eastAsia="ja-JP"/>
              </w:rPr>
            </w:pPr>
          </w:p>
        </w:tc>
        <w:tc>
          <w:tcPr>
            <w:tcW w:w="1795"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w:t>
      </w:r>
      <w:r>
        <w:rPr>
          <w:rFonts w:hint="eastAsia"/>
        </w:rPr>
        <w:sym w:font="Wingdings 2" w:char="00A3"/>
      </w:r>
      <w:r>
        <w:rPr>
          <w:rFonts w:hint="eastAsia"/>
        </w:rPr>
        <w:t>EMS□OHSMS</w:t>
      </w:r>
      <w:r>
        <w:rPr>
          <w:rFonts w:hint="eastAsia"/>
        </w:rPr>
        <w:sym w:font="Wingdings 2" w:char="0052"/>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8" w:name="Q勾选Add2"/>
            <w:r>
              <w:rPr>
                <w:rFonts w:hint="eastAsia"/>
              </w:rPr>
              <w:t>□</w:t>
            </w:r>
            <w:bookmarkEnd w:id="1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9" w:name="E勾选Add2"/>
            <w:r>
              <w:rPr>
                <w:rFonts w:hint="eastAsia"/>
              </w:rPr>
              <w:t>□</w:t>
            </w:r>
            <w:bookmarkEnd w:id="1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0" w:name="S勾选Add2"/>
            <w:r>
              <w:rPr>
                <w:rFonts w:hint="eastAsia"/>
              </w:rPr>
              <w:t>□</w:t>
            </w:r>
            <w:bookmarkEnd w:id="2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-120015</wp:posOffset>
                  </wp:positionH>
                  <wp:positionV relativeFrom="paragraph">
                    <wp:posOffset>6078220</wp:posOffset>
                  </wp:positionV>
                  <wp:extent cx="851535" cy="314325"/>
                  <wp:effectExtent l="0" t="0" r="0" b="3175"/>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851535" cy="31432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w:t>
            </w:r>
            <w:r>
              <w:rPr>
                <w:rFonts w:hint="eastAsia"/>
              </w:rPr>
              <w:sym w:font="Wingdings 2" w:char="0052"/>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eastAsia" w:eastAsia="宋体"/>
                <w:lang w:eastAsia="zh-CN"/>
              </w:rPr>
            </w:pPr>
            <w:r>
              <w:rPr>
                <w:rFonts w:hint="eastAsia"/>
              </w:rPr>
              <w:t>□生产/服务过程□能效监测□设备维修</w:t>
            </w:r>
            <w:r>
              <w:rPr>
                <w:rFonts w:hint="eastAsia"/>
              </w:rPr>
              <w:sym w:font="Wingdings 2" w:char="0052"/>
            </w:r>
            <w:r>
              <w:rPr>
                <w:rFonts w:hint="eastAsia"/>
              </w:rPr>
              <w:t>人员培训</w:t>
            </w:r>
            <w:r>
              <w:rPr>
                <w:rFonts w:hint="eastAsia"/>
                <w:lang w:eastAsia="zh-CN"/>
              </w:rPr>
              <w:t>（</w:t>
            </w:r>
            <w:r>
              <w:rPr>
                <w:rFonts w:hint="eastAsia"/>
                <w:lang w:val="en-US" w:eastAsia="zh-CN"/>
              </w:rPr>
              <w:t>有时</w:t>
            </w:r>
            <w:r>
              <w:rPr>
                <w:rFonts w:hint="eastAsia"/>
                <w:lang w:eastAsia="zh-CN"/>
              </w:rPr>
              <w:t>）</w:t>
            </w:r>
            <w:r>
              <w:rPr>
                <w:rFonts w:hint="eastAsia"/>
              </w:rPr>
              <w:sym w:font="Wingdings 2" w:char="0052"/>
            </w:r>
            <w:r>
              <w:rPr>
                <w:rFonts w:hint="eastAsia"/>
                <w:lang w:val="en-US" w:eastAsia="zh-CN"/>
              </w:rPr>
              <w:t>产品运输</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widowControl/>
              <w:spacing w:before="40"/>
              <w:jc w:val="left"/>
              <w:rPr>
                <w:rFonts w:hint="eastAsia" w:ascii="Times New Roman" w:hAnsi="Times New Roman" w:eastAsia="宋体" w:cs="Times New Roman"/>
                <w:b/>
                <w:bCs/>
              </w:rPr>
            </w:pPr>
            <w:r>
              <w:rPr>
                <w:rFonts w:hint="eastAsia"/>
              </w:rPr>
              <w:t>最高管理者制定了文件化的管理体系方针：</w:t>
            </w:r>
            <w:r>
              <w:rPr>
                <w:rFonts w:hint="eastAsia" w:ascii="Times New Roman" w:hAnsi="Times New Roman" w:eastAsia="宋体" w:cs="Times New Roman"/>
                <w:b/>
                <w:bCs/>
              </w:rPr>
              <w:t>遵守法规 清洁生产</w:t>
            </w: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节能降耗</w:t>
            </w:r>
            <w:r>
              <w:rPr>
                <w:rFonts w:hint="eastAsia" w:ascii="Times New Roman" w:hAnsi="Times New Roman" w:eastAsia="宋体" w:cs="Times New Roman"/>
                <w:b/>
                <w:bCs/>
              </w:rPr>
              <w:t xml:space="preserve"> 创新改造</w:t>
            </w: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能耗限额 持续改进</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sym w:font="Wingdings 2" w:char="0052"/>
            </w:r>
            <w:r>
              <w:rPr>
                <w:rFonts w:hint="eastAsia"/>
              </w:rPr>
              <w:t>EnMS的主管部门是——</w:t>
            </w:r>
            <w:r>
              <w:rPr>
                <w:rFonts w:hint="eastAsia"/>
                <w:lang w:val="en-US" w:eastAsia="zh-CN"/>
              </w:rPr>
              <w:t xml:space="preserve">技术研发部 </w:t>
            </w:r>
            <w:r>
              <w:rPr>
                <w:rFonts w:hint="eastAsia"/>
              </w:rPr>
              <w:sym w:font="Wingdings 2" w:char="0052"/>
            </w:r>
            <w:r>
              <w:rPr>
                <w:rFonts w:hint="eastAsia"/>
              </w:rPr>
              <w:t>能源管理团队</w:t>
            </w:r>
            <w:r>
              <w:rPr>
                <w:rFonts w:hint="eastAsia"/>
                <w:lang w:eastAsia="zh-CN"/>
              </w:rPr>
              <w:t>——</w:t>
            </w:r>
            <w:r>
              <w:rPr>
                <w:rFonts w:hint="eastAsia"/>
                <w:lang w:val="en-US" w:eastAsia="zh-CN"/>
              </w:rPr>
              <w:t>技术研发部</w:t>
            </w:r>
          </w:p>
          <w:p>
            <w:pPr>
              <w:shd w:val="clear" w:color="auto" w:fill="EBF1DE" w:themeFill="accent3" w:themeFillTint="32"/>
              <w:rPr>
                <w:rFonts w:hint="eastAsia" w:eastAsia="宋体"/>
                <w:lang w:val="en-US" w:eastAsia="zh-CN"/>
              </w:rPr>
            </w:pPr>
            <w:r>
              <w:rPr>
                <w:rFonts w:hint="eastAsia"/>
              </w:rPr>
              <w:t>能源管理团队负责人</w:t>
            </w:r>
            <w:r>
              <w:rPr>
                <w:rFonts w:hint="eastAsia"/>
                <w:lang w:val="en-US" w:eastAsia="zh-CN"/>
              </w:rPr>
              <w:t>刘建东；</w:t>
            </w:r>
            <w:r>
              <w:rPr>
                <w:rFonts w:hint="eastAsia"/>
              </w:rPr>
              <w:t>管理者代表是——</w:t>
            </w:r>
            <w:r>
              <w:rPr>
                <w:rFonts w:hint="eastAsia"/>
                <w:lang w:val="en-US" w:eastAsia="zh-CN"/>
              </w:rPr>
              <w:t>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4"/>
              <w:gridCol w:w="358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4" w:type="dxa"/>
                </w:tcPr>
                <w:p>
                  <w:pPr>
                    <w:shd w:val="clear" w:color="auto" w:fill="EBF1DE" w:themeFill="accent3" w:themeFillTint="32"/>
                  </w:pPr>
                  <w:r>
                    <w:rPr>
                      <w:rFonts w:hint="eastAsia"/>
                    </w:rPr>
                    <w:t>主要的风险或机遇描述</w:t>
                  </w:r>
                </w:p>
              </w:tc>
              <w:tc>
                <w:tcPr>
                  <w:tcW w:w="3581"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4" w:type="dxa"/>
                </w:tcPr>
                <w:p>
                  <w:pPr>
                    <w:shd w:val="clear" w:color="auto" w:fill="EBF1DE" w:themeFill="accent3" w:themeFillTint="32"/>
                    <w:rPr>
                      <w:rFonts w:hint="default" w:eastAsia="宋体"/>
                      <w:lang w:val="en-US" w:eastAsia="zh-CN"/>
                    </w:rPr>
                  </w:pPr>
                  <w:r>
                    <w:rPr>
                      <w:rFonts w:hint="eastAsia"/>
                      <w:lang w:val="en-US" w:eastAsia="zh-CN"/>
                    </w:rPr>
                    <w:t>能源法律法规及相关标准的变化</w:t>
                  </w:r>
                </w:p>
              </w:tc>
              <w:tc>
                <w:tcPr>
                  <w:tcW w:w="3581" w:type="dxa"/>
                </w:tcPr>
                <w:p>
                  <w:pPr>
                    <w:shd w:val="clear" w:color="auto" w:fill="EBF1DE" w:themeFill="accent3" w:themeFillTint="32"/>
                    <w:rPr>
                      <w:rFonts w:hint="default" w:eastAsia="宋体"/>
                      <w:lang w:val="en-US" w:eastAsia="zh-CN"/>
                    </w:rPr>
                  </w:pPr>
                  <w:r>
                    <w:rPr>
                      <w:rFonts w:hint="eastAsia"/>
                      <w:lang w:val="en-US" w:eastAsia="zh-CN"/>
                    </w:rPr>
                    <w:t>及时识别并评价合规性，制定相应的措施</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4" w:type="dxa"/>
                </w:tcPr>
                <w:p>
                  <w:pPr>
                    <w:shd w:val="clear" w:color="auto" w:fill="EBF1DE" w:themeFill="accent3" w:themeFillTint="32"/>
                    <w:rPr>
                      <w:rFonts w:hint="default" w:eastAsia="宋体"/>
                      <w:lang w:val="en-US" w:eastAsia="zh-CN"/>
                    </w:rPr>
                  </w:pPr>
                  <w:r>
                    <w:rPr>
                      <w:rFonts w:hint="eastAsia"/>
                      <w:lang w:val="en-US" w:eastAsia="zh-CN"/>
                    </w:rPr>
                    <w:t>主要耗能设备的使用</w:t>
                  </w:r>
                </w:p>
              </w:tc>
              <w:tc>
                <w:tcPr>
                  <w:tcW w:w="3581" w:type="dxa"/>
                </w:tcPr>
                <w:p>
                  <w:pPr>
                    <w:shd w:val="clear" w:color="auto" w:fill="EBF1DE" w:themeFill="accent3" w:themeFillTint="32"/>
                    <w:rPr>
                      <w:rFonts w:hint="default" w:eastAsia="宋体"/>
                      <w:lang w:val="en-US" w:eastAsia="zh-CN"/>
                    </w:rPr>
                  </w:pPr>
                  <w:r>
                    <w:rPr>
                      <w:rFonts w:hint="eastAsia"/>
                      <w:lang w:val="en-US" w:eastAsia="zh-CN"/>
                    </w:rPr>
                    <w:t>目前无主要耗能设备</w:t>
                  </w:r>
                </w:p>
              </w:tc>
              <w:tc>
                <w:tcPr>
                  <w:tcW w:w="1717" w:type="dxa"/>
                </w:tcPr>
                <w:p>
                  <w:pPr>
                    <w:shd w:val="clear" w:color="auto" w:fill="EBF1DE" w:themeFill="accent3" w:themeFillTint="3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4" w:type="dxa"/>
                </w:tcPr>
                <w:p>
                  <w:pPr>
                    <w:shd w:val="clear" w:color="auto" w:fill="EBF1DE" w:themeFill="accent3" w:themeFillTint="32"/>
                    <w:rPr>
                      <w:rFonts w:hint="default" w:eastAsia="宋体"/>
                      <w:lang w:val="en-US" w:eastAsia="zh-CN"/>
                    </w:rPr>
                  </w:pPr>
                  <w:r>
                    <w:rPr>
                      <w:rFonts w:hint="eastAsia"/>
                      <w:lang w:val="en-US" w:eastAsia="zh-CN"/>
                    </w:rPr>
                    <w:t>能源计量器具的配备及符合性</w:t>
                  </w:r>
                </w:p>
              </w:tc>
              <w:tc>
                <w:tcPr>
                  <w:tcW w:w="3581" w:type="dxa"/>
                </w:tcPr>
                <w:p>
                  <w:pPr>
                    <w:shd w:val="clear" w:color="auto" w:fill="EBF1DE" w:themeFill="accent3" w:themeFillTint="32"/>
                    <w:rPr>
                      <w:rFonts w:hint="default" w:eastAsia="宋体"/>
                      <w:lang w:val="en-US" w:eastAsia="zh-CN"/>
                    </w:rPr>
                  </w:pPr>
                  <w:r>
                    <w:rPr>
                      <w:rFonts w:hint="eastAsia"/>
                      <w:lang w:val="en-US" w:eastAsia="zh-CN"/>
                    </w:rPr>
                    <w:t>计量器具配备符合要求</w:t>
                  </w:r>
                </w:p>
              </w:tc>
              <w:tc>
                <w:tcPr>
                  <w:tcW w:w="1717" w:type="dxa"/>
                </w:tcPr>
                <w:p>
                  <w:pPr>
                    <w:shd w:val="clear" w:color="auto" w:fill="EBF1DE" w:themeFill="accent3" w:themeFillTint="32"/>
                    <w:rPr>
                      <w:rFonts w:hint="default" w:eastAsia="宋体"/>
                      <w:lang w:val="en-US" w:eastAsia="zh-CN"/>
                    </w:rPr>
                  </w:pPr>
                  <w:r>
                    <w:rPr>
                      <w:rFonts w:hint="eastAsia"/>
                      <w:lang w:val="en-US" w:eastAsia="zh-CN"/>
                    </w:rPr>
                    <w:t>配备基本符合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4" w:type="dxa"/>
                </w:tcPr>
                <w:p>
                  <w:pPr>
                    <w:shd w:val="clear" w:color="auto" w:fill="EBF1DE" w:themeFill="accent3" w:themeFillTint="32"/>
                  </w:pPr>
                </w:p>
              </w:tc>
              <w:tc>
                <w:tcPr>
                  <w:tcW w:w="3581"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□蒸汽□天然气□燃料油□燃料气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lang w:val="en-US" w:eastAsia="zh-CN"/>
              </w:rPr>
              <w:t xml:space="preserve">kgce </w:t>
            </w:r>
            <w:r>
              <w:rPr>
                <w:rFonts w:hint="eastAsia"/>
              </w:rPr>
              <w:t>□能源消费总量□单位产品蒸汽消耗□单位产品燃料气消耗□加热炉热效率</w:t>
            </w:r>
            <w:r>
              <w:rPr>
                <w:rFonts w:hint="eastAsia"/>
              </w:rPr>
              <w:sym w:font="Wingdings 2" w:char="0052"/>
            </w:r>
            <w:r>
              <w:rPr>
                <w:rFonts w:hint="eastAsia"/>
              </w:rPr>
              <w:t>其他</w:t>
            </w:r>
            <w:r>
              <w:rPr>
                <w:rFonts w:hint="eastAsia"/>
                <w:lang w:val="en-US" w:eastAsia="zh-CN"/>
              </w:rPr>
              <w:t>:</w:t>
            </w:r>
            <w:r>
              <w:rPr>
                <w:rFonts w:hint="eastAsia"/>
                <w:highlight w:val="none"/>
                <w:lang w:val="en-US" w:eastAsia="zh-CN"/>
              </w:rPr>
              <w:t>单位产品综合能耗kgce/台</w:t>
            </w:r>
            <w:r>
              <w:rPr>
                <w:rFonts w:hint="eastAsia"/>
                <w:lang w:val="en-US" w:eastAsia="zh-CN"/>
              </w:rPr>
              <w:t>；单位产值综合能耗kgce/万元</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rPr>
                <w:rFonts w:hint="eastAsia" w:eastAsia="宋体"/>
                <w:lang w:val="en-US" w:eastAsia="zh-CN"/>
              </w:rPr>
            </w:pPr>
            <w:r>
              <w:rPr>
                <w:rFonts w:hint="eastAsia"/>
              </w:rPr>
              <w:t>□节能评估报告编号/日期：</w:t>
            </w:r>
            <w:r>
              <w:rPr>
                <w:rFonts w:hint="eastAsia"/>
                <w:lang w:val="en-US" w:eastAsia="zh-CN"/>
              </w:rPr>
              <w:t>不涉及</w:t>
            </w:r>
          </w:p>
          <w:p>
            <w:pPr>
              <w:shd w:val="clear" w:color="auto" w:fill="EBF1DE" w:themeFill="accent3" w:themeFillTint="32"/>
            </w:pPr>
            <w:r>
              <w:rPr>
                <w:rFonts w:hint="eastAsia"/>
              </w:rPr>
              <w:t>□能源评审报告编号/日期：</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4"/>
              <w:gridCol w:w="1990"/>
              <w:gridCol w:w="135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目标指标2022年</w:t>
                  </w:r>
                </w:p>
              </w:tc>
              <w:tc>
                <w:tcPr>
                  <w:tcW w:w="199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334" w:type="dxa"/>
                  <w:shd w:val="clear" w:color="auto" w:fill="auto"/>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textAlignment w:val="auto"/>
                    <w:rPr>
                      <w:rFonts w:hint="eastAsia" w:ascii="Times New Roman" w:hAnsi="Times New Roman" w:eastAsia="宋体" w:cs="Times New Roman"/>
                      <w:kern w:val="2"/>
                      <w:sz w:val="21"/>
                      <w:szCs w:val="24"/>
                      <w:highlight w:val="yellow"/>
                      <w:lang w:val="en-US" w:eastAsia="zh-CN" w:bidi="ar-SA"/>
                    </w:rPr>
                  </w:pPr>
                  <w:r>
                    <w:rPr>
                      <w:rFonts w:hint="eastAsia" w:ascii="Times New Roman" w:hAnsi="Times New Roman" w:eastAsia="宋体" w:cs="Times New Roman"/>
                      <w:kern w:val="2"/>
                      <w:sz w:val="21"/>
                      <w:szCs w:val="24"/>
                      <w:highlight w:val="none"/>
                      <w:lang w:val="zh-CN" w:eastAsia="zh-CN" w:bidi="ar-SA"/>
                    </w:rPr>
                    <w:t>综合能耗：</w:t>
                  </w:r>
                  <w:r>
                    <w:rPr>
                      <w:rFonts w:hint="eastAsia" w:ascii="Times New Roman" w:cs="Times New Roman"/>
                      <w:kern w:val="2"/>
                      <w:sz w:val="21"/>
                      <w:szCs w:val="24"/>
                      <w:highlight w:val="none"/>
                      <w:lang w:val="en-US" w:eastAsia="zh-CN" w:bidi="ar-SA"/>
                    </w:rPr>
                    <w:t>2400千克</w:t>
                  </w:r>
                  <w:r>
                    <w:rPr>
                      <w:rFonts w:hint="eastAsia" w:ascii="Times New Roman" w:hAnsi="Times New Roman" w:eastAsia="宋体" w:cs="Times New Roman"/>
                      <w:kern w:val="2"/>
                      <w:sz w:val="21"/>
                      <w:szCs w:val="24"/>
                      <w:highlight w:val="none"/>
                      <w:lang w:val="en-US" w:eastAsia="zh-CN" w:bidi="ar-SA"/>
                    </w:rPr>
                    <w:t>标准煤</w:t>
                  </w:r>
                </w:p>
              </w:tc>
              <w:tc>
                <w:tcPr>
                  <w:tcW w:w="199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加强用能设备管理</w:t>
                  </w:r>
                </w:p>
              </w:tc>
              <w:tc>
                <w:tcPr>
                  <w:tcW w:w="1353" w:type="dxa"/>
                  <w:shd w:val="clear" w:color="auto" w:fill="auto"/>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textAlignment w:val="auto"/>
                    <w:rPr>
                      <w:rFonts w:hint="default" w:ascii="Times New Roman" w:hAnsi="Times New Roman" w:eastAsia="宋体" w:cs="Times New Roman"/>
                      <w:kern w:val="2"/>
                      <w:sz w:val="21"/>
                      <w:szCs w:val="24"/>
                      <w:lang w:val="en-GB" w:eastAsia="zh-CN" w:bidi="ar-SA"/>
                    </w:rPr>
                  </w:pPr>
                  <w:r>
                    <w:rPr>
                      <w:rFonts w:hint="eastAsia" w:ascii="Times New Roman" w:cs="Times New Roman"/>
                      <w:kern w:val="2"/>
                      <w:sz w:val="21"/>
                      <w:szCs w:val="24"/>
                      <w:lang w:val="en-US" w:eastAsia="zh-CN" w:bidi="ar-SA"/>
                    </w:rPr>
                    <w:t>技术研发</w:t>
                  </w:r>
                  <w:r>
                    <w:rPr>
                      <w:rFonts w:hint="eastAsia" w:ascii="Times New Roman" w:hAnsi="Times New Roman" w:eastAsia="宋体" w:cs="Times New Roman"/>
                      <w:kern w:val="2"/>
                      <w:sz w:val="21"/>
                      <w:szCs w:val="24"/>
                      <w:lang w:val="en-US" w:eastAsia="zh-CN" w:bidi="ar-SA"/>
                    </w:rPr>
                    <w:t>部</w:t>
                  </w:r>
                </w:p>
              </w:tc>
              <w:tc>
                <w:tcPr>
                  <w:tcW w:w="1774" w:type="dxa"/>
                  <w:shd w:val="clear" w:color="auto" w:fill="auto"/>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textAlignment w:val="auto"/>
                    <w:rPr>
                      <w:rFonts w:hint="default" w:ascii="Times New Roman" w:hAnsi="Times New Roman" w:eastAsia="宋体" w:cs="Times New Roman"/>
                      <w:kern w:val="2"/>
                      <w:sz w:val="21"/>
                      <w:szCs w:val="24"/>
                      <w:lang w:val="en-US" w:eastAsia="zh-CN" w:bidi="ar-SA"/>
                    </w:rPr>
                  </w:pPr>
                  <w:r>
                    <w:rPr>
                      <w:rFonts w:hint="eastAsia" w:ascii="Times New Roman" w:cs="Times New Roman"/>
                      <w:kern w:val="2"/>
                      <w:sz w:val="21"/>
                      <w:szCs w:val="24"/>
                      <w:lang w:val="en-US" w:eastAsia="zh-CN" w:bidi="ar-SA"/>
                    </w:rPr>
                    <w:t>1003</w:t>
                  </w:r>
                  <w:r>
                    <w:rPr>
                      <w:rFonts w:hint="eastAsia" w:ascii="Times New Roman" w:hAnsi="Times New Roman" w:eastAsia="宋体" w:cs="Times New Roman"/>
                      <w:kern w:val="2"/>
                      <w:sz w:val="21"/>
                      <w:szCs w:val="24"/>
                      <w:lang w:val="en-US" w:eastAsia="zh-CN" w:bidi="ar-SA"/>
                    </w:rPr>
                    <w:t>.1</w:t>
                  </w:r>
                  <w:r>
                    <w:rPr>
                      <w:rFonts w:hint="eastAsia" w:ascii="Times New Roman" w:cs="Times New Roman"/>
                      <w:kern w:val="2"/>
                      <w:sz w:val="21"/>
                      <w:szCs w:val="24"/>
                      <w:lang w:val="en-US" w:eastAsia="zh-CN" w:bidi="ar-SA"/>
                    </w:rPr>
                    <w:t>49kgce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shd w:val="clear" w:color="auto" w:fill="auto"/>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textAlignment w:val="auto"/>
                    <w:rPr>
                      <w:rFonts w:hint="eastAsia" w:ascii="Times New Roman" w:hAnsi="Times New Roman" w:eastAsia="宋体" w:cs="Times New Roman"/>
                      <w:kern w:val="2"/>
                      <w:sz w:val="21"/>
                      <w:szCs w:val="24"/>
                      <w:highlight w:val="yellow"/>
                      <w:lang w:val="en-US" w:eastAsia="zh-CN" w:bidi="ar-SA"/>
                    </w:rPr>
                  </w:pPr>
                  <w:r>
                    <w:rPr>
                      <w:rFonts w:hint="eastAsia" w:ascii="Times New Roman" w:hAnsi="Times New Roman" w:eastAsia="宋体" w:cs="Times New Roman"/>
                      <w:kern w:val="2"/>
                      <w:sz w:val="21"/>
                      <w:szCs w:val="24"/>
                      <w:highlight w:val="none"/>
                      <w:lang w:val="en-US" w:eastAsia="zh-CN" w:bidi="ar-SA"/>
                    </w:rPr>
                    <w:t>单位产品综合能耗：</w:t>
                  </w:r>
                  <w:r>
                    <w:rPr>
                      <w:rFonts w:hint="eastAsia" w:ascii="Times New Roman" w:cs="Times New Roman"/>
                      <w:kern w:val="2"/>
                      <w:sz w:val="21"/>
                      <w:szCs w:val="24"/>
                      <w:highlight w:val="none"/>
                      <w:lang w:val="en-US" w:eastAsia="zh-CN" w:bidi="ar-SA"/>
                    </w:rPr>
                    <w:t>7</w:t>
                  </w:r>
                  <w:r>
                    <w:rPr>
                      <w:rFonts w:hint="eastAsia" w:ascii="Times New Roman" w:hAnsi="Times New Roman" w:eastAsia="宋体" w:cs="Times New Roman"/>
                      <w:kern w:val="2"/>
                      <w:sz w:val="21"/>
                      <w:szCs w:val="24"/>
                      <w:highlight w:val="none"/>
                      <w:lang w:val="en-US" w:eastAsia="zh-CN" w:bidi="ar-SA"/>
                    </w:rPr>
                    <w:t>.</w:t>
                  </w:r>
                  <w:r>
                    <w:rPr>
                      <w:rFonts w:hint="eastAsia" w:ascii="Times New Roman" w:cs="Times New Roman"/>
                      <w:kern w:val="2"/>
                      <w:sz w:val="21"/>
                      <w:szCs w:val="24"/>
                      <w:highlight w:val="none"/>
                      <w:lang w:val="en-US" w:eastAsia="zh-CN" w:bidi="ar-SA"/>
                    </w:rPr>
                    <w:t>00</w:t>
                  </w:r>
                  <w:r>
                    <w:rPr>
                      <w:rFonts w:hint="eastAsia" w:ascii="Times New Roman" w:hAnsi="Times New Roman" w:eastAsia="宋体" w:cs="Times New Roman"/>
                      <w:kern w:val="2"/>
                      <w:sz w:val="21"/>
                      <w:szCs w:val="24"/>
                      <w:highlight w:val="none"/>
                      <w:lang w:val="en-US" w:eastAsia="zh-CN" w:bidi="ar-SA"/>
                    </w:rPr>
                    <w:t>kgce/台</w:t>
                  </w:r>
                </w:p>
              </w:tc>
              <w:tc>
                <w:tcPr>
                  <w:tcW w:w="199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增加产量</w:t>
                  </w:r>
                </w:p>
              </w:tc>
              <w:tc>
                <w:tcPr>
                  <w:tcW w:w="1353" w:type="dxa"/>
                  <w:shd w:val="clear" w:color="auto" w:fill="auto"/>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textAlignment w:val="auto"/>
                    <w:rPr>
                      <w:rFonts w:hint="default" w:ascii="Times New Roman" w:hAnsi="Times New Roman" w:eastAsia="宋体" w:cs="Times New Roman"/>
                      <w:kern w:val="2"/>
                      <w:sz w:val="21"/>
                      <w:szCs w:val="24"/>
                      <w:lang w:val="en-US" w:eastAsia="zh-CN" w:bidi="ar-SA"/>
                    </w:rPr>
                  </w:pPr>
                  <w:r>
                    <w:rPr>
                      <w:rFonts w:hint="eastAsia" w:ascii="Times New Roman" w:cs="Times New Roman"/>
                      <w:kern w:val="2"/>
                      <w:sz w:val="21"/>
                      <w:szCs w:val="24"/>
                      <w:lang w:val="en-US" w:eastAsia="zh-CN" w:bidi="ar-SA"/>
                    </w:rPr>
                    <w:t>技术研发</w:t>
                  </w:r>
                  <w:r>
                    <w:rPr>
                      <w:rFonts w:hint="eastAsia" w:ascii="Times New Roman" w:hAnsi="Times New Roman" w:eastAsia="宋体" w:cs="Times New Roman"/>
                      <w:kern w:val="2"/>
                      <w:sz w:val="21"/>
                      <w:szCs w:val="24"/>
                      <w:lang w:val="en-US" w:eastAsia="zh-CN" w:bidi="ar-SA"/>
                    </w:rPr>
                    <w:t>部</w:t>
                  </w:r>
                </w:p>
              </w:tc>
              <w:tc>
                <w:tcPr>
                  <w:tcW w:w="1774" w:type="dxa"/>
                  <w:shd w:val="clear" w:color="auto" w:fill="auto"/>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textAlignment w:val="auto"/>
                    <w:rPr>
                      <w:rFonts w:hint="eastAsia" w:ascii="Times New Roman" w:hAnsi="Times New Roman" w:eastAsia="宋体" w:cs="Times New Roman"/>
                      <w:kern w:val="2"/>
                      <w:sz w:val="21"/>
                      <w:szCs w:val="24"/>
                      <w:lang w:val="en-US" w:eastAsia="zh-CN" w:bidi="ar-SA"/>
                    </w:rPr>
                  </w:pPr>
                  <w:r>
                    <w:rPr>
                      <w:rFonts w:hint="eastAsia" w:ascii="Times New Roman" w:cs="Times New Roman"/>
                      <w:kern w:val="2"/>
                      <w:sz w:val="21"/>
                      <w:szCs w:val="24"/>
                      <w:lang w:val="en-US" w:eastAsia="zh-CN" w:bidi="ar-SA"/>
                    </w:rPr>
                    <w:t>5</w:t>
                  </w:r>
                  <w:r>
                    <w:rPr>
                      <w:rFonts w:hint="eastAsia" w:ascii="Times New Roman" w:hAnsi="Times New Roman" w:eastAsia="宋体" w:cs="Times New Roman"/>
                      <w:kern w:val="2"/>
                      <w:sz w:val="21"/>
                      <w:szCs w:val="24"/>
                      <w:lang w:val="en-US" w:eastAsia="zh-CN" w:bidi="ar-SA"/>
                    </w:rPr>
                    <w:t>.</w:t>
                  </w:r>
                  <w:r>
                    <w:rPr>
                      <w:rFonts w:hint="eastAsia" w:ascii="Times New Roman" w:cs="Times New Roman"/>
                      <w:kern w:val="2"/>
                      <w:sz w:val="21"/>
                      <w:szCs w:val="24"/>
                      <w:lang w:val="en-US" w:eastAsia="zh-CN" w:bidi="ar-SA"/>
                    </w:rPr>
                    <w:t>016</w:t>
                  </w:r>
                  <w:r>
                    <w:rPr>
                      <w:rFonts w:hint="eastAsia" w:ascii="Times New Roman" w:hAnsi="Times New Roman" w:eastAsia="宋体" w:cs="Times New Roman"/>
                      <w:kern w:val="2"/>
                      <w:sz w:val="21"/>
                      <w:szCs w:val="24"/>
                      <w:lang w:val="en-US" w:eastAsia="zh-CN" w:bidi="ar-SA"/>
                    </w:rPr>
                    <w:t>kgce/台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shd w:val="clear" w:color="auto" w:fill="auto"/>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textAlignment w:val="auto"/>
                    <w:rPr>
                      <w:rFonts w:hint="eastAsia" w:ascii="Times New Roman" w:hAnsi="Times New Roman" w:eastAsia="宋体" w:cs="Times New Roman"/>
                      <w:kern w:val="2"/>
                      <w:sz w:val="21"/>
                      <w:szCs w:val="24"/>
                      <w:highlight w:val="yellow"/>
                      <w:lang w:val="en-US" w:eastAsia="zh-CN" w:bidi="ar-SA"/>
                    </w:rPr>
                  </w:pPr>
                  <w:r>
                    <w:rPr>
                      <w:rFonts w:hint="eastAsia" w:ascii="Times New Roman" w:hAnsi="Times New Roman" w:eastAsia="宋体" w:cs="Times New Roman"/>
                      <w:kern w:val="2"/>
                      <w:sz w:val="21"/>
                      <w:szCs w:val="24"/>
                      <w:highlight w:val="none"/>
                      <w:lang w:val="en-US" w:eastAsia="zh-CN" w:bidi="ar-SA"/>
                    </w:rPr>
                    <w:t>单位产值综合能耗：</w:t>
                  </w:r>
                  <w:r>
                    <w:rPr>
                      <w:rFonts w:hint="eastAsia" w:ascii="Times New Roman" w:cs="Times New Roman"/>
                      <w:kern w:val="2"/>
                      <w:sz w:val="21"/>
                      <w:szCs w:val="24"/>
                      <w:highlight w:val="none"/>
                      <w:lang w:val="en-US" w:eastAsia="zh-CN" w:bidi="ar-SA"/>
                    </w:rPr>
                    <w:t>39</w:t>
                  </w:r>
                  <w:r>
                    <w:rPr>
                      <w:rFonts w:hint="eastAsia" w:ascii="Times New Roman" w:hAnsi="Times New Roman" w:eastAsia="宋体" w:cs="Times New Roman"/>
                      <w:kern w:val="2"/>
                      <w:sz w:val="21"/>
                      <w:szCs w:val="24"/>
                      <w:highlight w:val="none"/>
                      <w:lang w:val="en-US" w:eastAsia="zh-CN" w:bidi="ar-SA"/>
                    </w:rPr>
                    <w:t>.0</w:t>
                  </w:r>
                  <w:r>
                    <w:rPr>
                      <w:rFonts w:hint="eastAsia" w:ascii="Times New Roman" w:cs="Times New Roman"/>
                      <w:kern w:val="2"/>
                      <w:sz w:val="21"/>
                      <w:szCs w:val="24"/>
                      <w:highlight w:val="none"/>
                      <w:lang w:val="en-US" w:eastAsia="zh-CN" w:bidi="ar-SA"/>
                    </w:rPr>
                    <w:t>0</w:t>
                  </w:r>
                  <w:r>
                    <w:rPr>
                      <w:rFonts w:hint="eastAsia" w:ascii="Times New Roman" w:hAnsi="Times New Roman" w:eastAsia="宋体" w:cs="Times New Roman"/>
                      <w:kern w:val="2"/>
                      <w:sz w:val="21"/>
                      <w:szCs w:val="24"/>
                      <w:highlight w:val="none"/>
                      <w:lang w:val="en-US" w:eastAsia="zh-CN" w:bidi="ar-SA"/>
                    </w:rPr>
                    <w:t>kgce/万元</w:t>
                  </w:r>
                </w:p>
              </w:tc>
              <w:tc>
                <w:tcPr>
                  <w:tcW w:w="199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增减产品附加值</w:t>
                  </w:r>
                </w:p>
              </w:tc>
              <w:tc>
                <w:tcPr>
                  <w:tcW w:w="1353" w:type="dxa"/>
                  <w:shd w:val="clear" w:color="auto" w:fill="auto"/>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textAlignment w:val="auto"/>
                    <w:rPr>
                      <w:rFonts w:hint="default" w:ascii="Times New Roman" w:hAnsi="Times New Roman" w:eastAsia="宋体" w:cs="Times New Roman"/>
                      <w:kern w:val="2"/>
                      <w:sz w:val="21"/>
                      <w:szCs w:val="24"/>
                      <w:lang w:val="en-US" w:eastAsia="zh-CN" w:bidi="ar-SA"/>
                    </w:rPr>
                  </w:pPr>
                  <w:r>
                    <w:rPr>
                      <w:rFonts w:hint="eastAsia" w:ascii="Times New Roman" w:cs="Times New Roman"/>
                      <w:kern w:val="2"/>
                      <w:sz w:val="21"/>
                      <w:szCs w:val="24"/>
                      <w:lang w:val="en-US" w:eastAsia="zh-CN" w:bidi="ar-SA"/>
                    </w:rPr>
                    <w:t>技术研发</w:t>
                  </w:r>
                  <w:r>
                    <w:rPr>
                      <w:rFonts w:hint="eastAsia" w:ascii="Times New Roman" w:hAnsi="Times New Roman" w:eastAsia="宋体" w:cs="Times New Roman"/>
                      <w:kern w:val="2"/>
                      <w:sz w:val="21"/>
                      <w:szCs w:val="24"/>
                      <w:lang w:val="en-US" w:eastAsia="zh-CN" w:bidi="ar-SA"/>
                    </w:rPr>
                    <w:t>部/</w:t>
                  </w:r>
                  <w:r>
                    <w:rPr>
                      <w:rFonts w:hint="eastAsia" w:ascii="Times New Roman" w:cs="Times New Roman"/>
                      <w:kern w:val="2"/>
                      <w:sz w:val="21"/>
                      <w:szCs w:val="24"/>
                      <w:lang w:val="en-US" w:eastAsia="zh-CN" w:bidi="ar-SA"/>
                    </w:rPr>
                    <w:t>销售</w:t>
                  </w:r>
                  <w:r>
                    <w:rPr>
                      <w:rFonts w:hint="eastAsia" w:ascii="Times New Roman" w:hAnsi="Times New Roman" w:eastAsia="宋体" w:cs="Times New Roman"/>
                      <w:kern w:val="2"/>
                      <w:sz w:val="21"/>
                      <w:szCs w:val="24"/>
                      <w:lang w:val="en-US" w:eastAsia="zh-CN" w:bidi="ar-SA"/>
                    </w:rPr>
                    <w:t>部</w:t>
                  </w:r>
                </w:p>
              </w:tc>
              <w:tc>
                <w:tcPr>
                  <w:tcW w:w="1774" w:type="dxa"/>
                  <w:shd w:val="clear" w:color="auto" w:fill="auto"/>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firstLine="0" w:firstLineChars="0"/>
                    <w:textAlignment w:val="auto"/>
                    <w:rPr>
                      <w:rFonts w:hint="eastAsia" w:ascii="Times New Roman" w:hAnsi="Times New Roman" w:eastAsia="宋体" w:cs="Times New Roman"/>
                      <w:kern w:val="2"/>
                      <w:sz w:val="21"/>
                      <w:szCs w:val="24"/>
                      <w:lang w:val="en-US" w:eastAsia="zh-CN" w:bidi="ar-SA"/>
                    </w:rPr>
                  </w:pPr>
                  <w:r>
                    <w:rPr>
                      <w:rFonts w:hint="eastAsia" w:ascii="Times New Roman" w:cs="Times New Roman"/>
                      <w:kern w:val="2"/>
                      <w:sz w:val="21"/>
                      <w:szCs w:val="24"/>
                      <w:lang w:val="en-US" w:eastAsia="zh-CN" w:bidi="ar-SA"/>
                    </w:rPr>
                    <w:t>37</w:t>
                  </w:r>
                  <w:r>
                    <w:rPr>
                      <w:rFonts w:hint="eastAsia" w:ascii="Times New Roman" w:hAnsi="Times New Roman" w:eastAsia="宋体" w:cs="Times New Roman"/>
                      <w:kern w:val="2"/>
                      <w:sz w:val="21"/>
                      <w:szCs w:val="24"/>
                      <w:lang w:val="en-US" w:eastAsia="zh-CN" w:bidi="ar-SA"/>
                    </w:rPr>
                    <w:t>.</w:t>
                  </w:r>
                  <w:r>
                    <w:rPr>
                      <w:rFonts w:hint="eastAsia" w:ascii="Times New Roman" w:cs="Times New Roman"/>
                      <w:kern w:val="2"/>
                      <w:sz w:val="21"/>
                      <w:szCs w:val="24"/>
                      <w:lang w:val="en-US" w:eastAsia="zh-CN" w:bidi="ar-SA"/>
                    </w:rPr>
                    <w:t>43</w:t>
                  </w:r>
                  <w:r>
                    <w:rPr>
                      <w:rFonts w:hint="eastAsia" w:ascii="Times New Roman" w:hAnsi="Times New Roman" w:eastAsia="宋体" w:cs="Times New Roman"/>
                      <w:kern w:val="2"/>
                      <w:sz w:val="21"/>
                      <w:szCs w:val="24"/>
                      <w:lang w:val="en-US" w:eastAsia="zh-CN" w:bidi="ar-SA"/>
                    </w:rPr>
                    <w:t>kgce/万元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shd w:val="clear" w:color="auto" w:fill="auto"/>
                </w:tcPr>
                <w:p>
                  <w:pPr>
                    <w:shd w:val="clear" w:color="auto" w:fill="EBF1DE" w:themeFill="accent3" w:themeFillTint="32"/>
                  </w:pPr>
                </w:p>
              </w:tc>
              <w:tc>
                <w:tcPr>
                  <w:tcW w:w="1990" w:type="dxa"/>
                  <w:shd w:val="clear" w:color="auto" w:fill="auto"/>
                  <w:vAlign w:val="center"/>
                </w:tcPr>
                <w:p>
                  <w:pPr>
                    <w:shd w:val="clear" w:color="auto" w:fill="EBF1DE" w:themeFill="accent3" w:themeFillTint="32"/>
                    <w:rPr>
                      <w:rFonts w:ascii="宋体" w:hAnsi="宋体"/>
                    </w:rPr>
                  </w:pPr>
                </w:p>
              </w:tc>
              <w:tc>
                <w:tcPr>
                  <w:tcW w:w="1353"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shd w:val="clear" w:color="auto" w:fill="auto"/>
                </w:tcPr>
                <w:p>
                  <w:pPr>
                    <w:shd w:val="clear" w:color="auto" w:fill="EBF1DE" w:themeFill="accent3" w:themeFillTint="32"/>
                  </w:pPr>
                </w:p>
              </w:tc>
              <w:tc>
                <w:tcPr>
                  <w:tcW w:w="1990" w:type="dxa"/>
                  <w:shd w:val="clear" w:color="auto" w:fill="auto"/>
                  <w:vAlign w:val="center"/>
                </w:tcPr>
                <w:p>
                  <w:pPr>
                    <w:shd w:val="clear" w:color="auto" w:fill="EBF1DE" w:themeFill="accent3" w:themeFillTint="32"/>
                    <w:rPr>
                      <w:rFonts w:ascii="宋体" w:hAnsi="宋体"/>
                    </w:rPr>
                  </w:pPr>
                </w:p>
              </w:tc>
              <w:tc>
                <w:tcPr>
                  <w:tcW w:w="1353"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pPr>
            <w:r>
              <w:rPr>
                <w:rFonts w:hint="eastAsia"/>
                <w:highlight w:val="none"/>
                <w:lang w:val="en-US" w:eastAsia="zh-CN"/>
              </w:rPr>
              <w:t>建筑面积1829平方米；库房1个；实验室1 个；</w:t>
            </w:r>
          </w:p>
          <w:p>
            <w:pPr>
              <w:shd w:val="clear" w:color="auto" w:fill="EBF1DE" w:themeFill="accent3" w:themeFillTint="32"/>
              <w:rPr>
                <w:u w:val="single"/>
              </w:rPr>
            </w:pPr>
            <w:r>
              <w:rPr>
                <w:rFonts w:hint="eastAsia"/>
              </w:rPr>
              <w:t>主要生产设备有：</w:t>
            </w:r>
            <w:r>
              <w:rPr>
                <w:rFonts w:hint="eastAsia" w:cs="Times New Roman"/>
                <w:color w:val="auto"/>
                <w:szCs w:val="22"/>
                <w:u w:val="single"/>
                <w:lang w:val="en-US" w:eastAsia="zh-CN"/>
              </w:rPr>
              <w:t>高温老化箱</w:t>
            </w:r>
            <w:r>
              <w:rPr>
                <w:rFonts w:hint="eastAsia" w:ascii="Times New Roman" w:hAnsi="Times New Roman" w:eastAsia="宋体" w:cs="Times New Roman"/>
                <w:color w:val="auto"/>
                <w:szCs w:val="22"/>
                <w:u w:val="single"/>
                <w:lang w:val="en-US" w:eastAsia="zh-CN"/>
              </w:rPr>
              <w:t>、</w:t>
            </w:r>
            <w:r>
              <w:rPr>
                <w:rFonts w:hint="eastAsia" w:cs="Times New Roman"/>
                <w:color w:val="auto"/>
                <w:szCs w:val="22"/>
                <w:u w:val="single"/>
                <w:lang w:val="en-US" w:eastAsia="zh-CN"/>
              </w:rPr>
              <w:t>标定台</w:t>
            </w:r>
            <w:r>
              <w:rPr>
                <w:rFonts w:hint="eastAsia" w:ascii="Times New Roman" w:hAnsi="Times New Roman" w:eastAsia="宋体" w:cs="Times New Roman"/>
                <w:color w:val="auto"/>
                <w:szCs w:val="22"/>
                <w:u w:val="single"/>
                <w:lang w:val="en-US" w:eastAsia="zh-CN"/>
              </w:rPr>
              <w:t>、</w:t>
            </w:r>
            <w:r>
              <w:rPr>
                <w:rFonts w:hint="eastAsia" w:cs="Times New Roman"/>
                <w:color w:val="auto"/>
                <w:szCs w:val="22"/>
                <w:u w:val="single"/>
                <w:lang w:val="en-US" w:eastAsia="zh-CN"/>
              </w:rPr>
              <w:t>恒温柜、低温柜、</w:t>
            </w:r>
            <w:r>
              <w:rPr>
                <w:rFonts w:hint="eastAsia" w:ascii="Times New Roman" w:hAnsi="Times New Roman" w:eastAsia="宋体" w:cs="Times New Roman"/>
                <w:color w:val="auto"/>
                <w:szCs w:val="22"/>
                <w:u w:val="single"/>
                <w:lang w:val="en-US" w:eastAsia="zh-CN"/>
              </w:rPr>
              <w:t>空压机、低压配电箱</w:t>
            </w:r>
            <w:r>
              <w:rPr>
                <w:rFonts w:hint="eastAsia" w:cs="Times New Roman"/>
                <w:color w:val="auto"/>
                <w:szCs w:val="22"/>
                <w:u w:val="single"/>
                <w:lang w:val="en-US" w:eastAsia="zh-CN"/>
              </w:rPr>
              <w:t>、产线烘烤箱</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Times New Roman" w:hAnsi="Times New Roman" w:eastAsia="宋体" w:cs="Times New Roman"/>
                <w:color w:val="auto"/>
                <w:szCs w:val="22"/>
                <w:u w:val="single"/>
                <w:lang w:val="en-US" w:eastAsia="zh-CN"/>
              </w:rPr>
              <w:t>高温老化箱、标定台、空压机、产线烘烤箱</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ascii="Wingdings" w:hAnsi="Wingdings"/>
                <w:lang w:val="en-US" w:eastAsia="zh-CN"/>
              </w:rPr>
              <w:t>电动</w:t>
            </w:r>
            <w:r>
              <w:rPr>
                <w:rFonts w:hint="eastAsia"/>
                <w:highlight w:val="none"/>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w:t>
            </w:r>
            <w:r>
              <w:rPr>
                <w:rFonts w:hint="eastAsia"/>
                <w:lang w:val="en-US" w:eastAsia="zh-CN"/>
              </w:rPr>
              <w:t>箱</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 、水表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color w:val="000000"/>
                <w:szCs w:val="18"/>
                <w:lang w:val="en-US" w:eastAsia="zh-CN"/>
              </w:rPr>
              <w:t>电表、水表由华银工业港有限公司统一管理</w:t>
            </w:r>
            <w:r>
              <w:rPr>
                <w:rFonts w:hint="eastAsia"/>
                <w:lang w:val="en-US" w:eastAsia="zh-CN"/>
              </w:rPr>
              <w:t>和负责检定。见租赁合同。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rPr>
                <w:rFonts w:hint="default" w:eastAsia="宋体"/>
                <w:lang w:val="en-US" w:eastAsia="zh-CN"/>
              </w:rPr>
            </w:pPr>
            <w:r>
              <w:rPr>
                <w:rFonts w:hint="eastAsia"/>
              </w:rPr>
              <w:t>□法律法规获取充分，</w:t>
            </w:r>
            <w:r>
              <w:rPr>
                <w:rFonts w:hint="eastAsia"/>
              </w:rPr>
              <w:sym w:font="Wingdings 2" w:char="0052"/>
            </w:r>
            <w:r>
              <w:rPr>
                <w:rFonts w:hint="eastAsia"/>
              </w:rPr>
              <w:t>法律法规获取有遗漏，缺少：</w:t>
            </w:r>
            <w:r>
              <w:rPr>
                <w:rFonts w:hint="eastAsia"/>
                <w:lang w:val="en-US" w:eastAsia="zh-CN"/>
              </w:rPr>
              <w:t>通过一阶段问题提出，已整改。</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sym w:font="Wingdings 2" w:char="0052"/>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sym w:font="Wingdings 2" w:char="0052"/>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w:t>
            </w:r>
            <w:r>
              <w:rPr>
                <w:rFonts w:hint="eastAsia" w:ascii="Times New Roman" w:hAnsi="Times New Roman" w:eastAsia="宋体" w:cs="Times New Roman"/>
              </w:rPr>
              <w:t>设计和开发新产品/项目名称：</w:t>
            </w:r>
            <w:r>
              <w:rPr>
                <w:rFonts w:hint="eastAsia"/>
                <w:highlight w:val="none"/>
                <w:u w:val="single"/>
                <w:lang w:val="en-US" w:eastAsia="zh-CN"/>
              </w:rPr>
              <w:t>SF86-WB-NB项目</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52"/>
            </w:r>
            <w:r>
              <w:rPr>
                <w:rFonts w:hint="eastAsia"/>
              </w:rPr>
              <w:t>淘汰落后设备更新</w:t>
            </w:r>
            <w:r>
              <w:rPr>
                <w:rFonts w:hint="eastAsia" w:ascii="Wingdings" w:hAnsi="Wingdings"/>
                <w:lang w:eastAsia="zh-CN"/>
              </w:rPr>
              <w:sym w:font="Wingdings 2" w:char="00A3"/>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加强用能设备的管理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rPr>
              <w:t>组织识别了潜在紧急情况及应急准备时所带来的能源消耗影响；</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default" w:eastAsia="宋体"/>
                <w:lang w:val="en-US" w:eastAsia="zh-CN"/>
              </w:rPr>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rPr>
                <w:rFonts w:hint="default" w:eastAsia="宋体"/>
                <w:lang w:val="en-US" w:eastAsia="zh-CN"/>
              </w:rPr>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无重点用能设备未实施监测</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lang w:val="en-US" w:eastAsia="zh-CN"/>
              </w:rPr>
              <w:t>最高管理者已按策划的时间间隔，在2022年7月25日对组织的能源管理体系进行了评审，以确保其持续的适宜性、充分性和有效性；管理评审输入、输出均按要求提供。并对提出的改进措施进行了落实。</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0000015"/>
    <w:multiLevelType w:val="multilevel"/>
    <w:tmpl w:val="00000015"/>
    <w:lvl w:ilvl="0" w:tentative="0">
      <w:start w:val="1"/>
      <w:numFmt w:val="lowerLetter"/>
      <w:pStyle w:val="25"/>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cs="Times New Roman"/>
      </w:rPr>
    </w:lvl>
    <w:lvl w:ilvl="2" w:tentative="0">
      <w:start w:val="1"/>
      <w:numFmt w:val="decimal"/>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83E6E31"/>
    <w:rsid w:val="1215117C"/>
    <w:rsid w:val="325D77CD"/>
    <w:rsid w:val="41321AFD"/>
    <w:rsid w:val="495F56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字母编号列项（一级）"/>
    <w:qFormat/>
    <w:uiPriority w:val="0"/>
    <w:pPr>
      <w:numPr>
        <w:ilvl w:val="0"/>
        <w:numId w:val="1"/>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36</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2022-08-16T11:31:29Z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