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0563-2022-E</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重庆耀辉环保有限公司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91500223MA5YW5T85H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重庆耀辉环保有限公司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粗铜、矿产品（需资质要求的除外）的销售所涉及场所的相关环境管理活动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重庆市潼南区田家镇长兴大道356号（自主承诺）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重庆市潼南区田家镇长兴大道356号1号楼2-2</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rFonts w:hint="default" w:eastAsia="宋体"/>
                <w:sz w:val="22"/>
                <w:szCs w:val="22"/>
                <w:highlight w:val="none"/>
                <w:lang w:eastAsia="zh-Hans"/>
              </w:rPr>
            </w:pPr>
            <w:r>
              <w:rPr>
                <w:rFonts w:hint="eastAsia" w:cs="Arial"/>
                <w:b/>
                <w:bCs/>
                <w:sz w:val="22"/>
                <w:szCs w:val="16"/>
                <w:highlight w:val="none"/>
                <w:lang w:val="en-US" w:eastAsia="zh-Hans"/>
              </w:rPr>
              <w:t>Chongqing</w:t>
            </w:r>
            <w:r>
              <w:rPr>
                <w:rFonts w:hint="default" w:cs="Arial"/>
                <w:b/>
                <w:bCs/>
                <w:sz w:val="22"/>
                <w:szCs w:val="16"/>
                <w:highlight w:val="none"/>
                <w:lang w:eastAsia="zh-Hans"/>
              </w:rPr>
              <w:t xml:space="preserve"> </w:t>
            </w:r>
            <w:r>
              <w:rPr>
                <w:rFonts w:hint="eastAsia" w:cs="Arial"/>
                <w:b/>
                <w:bCs/>
                <w:sz w:val="22"/>
                <w:szCs w:val="16"/>
                <w:highlight w:val="none"/>
                <w:lang w:val="en-US" w:eastAsia="zh-Hans"/>
              </w:rPr>
              <w:t>Yaohui</w:t>
            </w:r>
            <w:r>
              <w:rPr>
                <w:rFonts w:hint="default" w:cs="Arial"/>
                <w:b/>
                <w:bCs/>
                <w:sz w:val="22"/>
                <w:szCs w:val="16"/>
                <w:highlight w:val="none"/>
                <w:lang w:eastAsia="zh-Hans"/>
              </w:rPr>
              <w:t xml:space="preserve"> </w:t>
            </w:r>
            <w:r>
              <w:rPr>
                <w:rFonts w:hint="eastAsia" w:cs="Arial"/>
                <w:b/>
                <w:bCs/>
                <w:sz w:val="22"/>
                <w:szCs w:val="16"/>
                <w:highlight w:val="none"/>
                <w:lang w:val="en-US" w:eastAsia="zh-Hans"/>
              </w:rPr>
              <w:t>Environment</w:t>
            </w:r>
            <w:r>
              <w:rPr>
                <w:rFonts w:hint="default" w:cs="Arial"/>
                <w:b/>
                <w:bCs/>
                <w:sz w:val="22"/>
                <w:szCs w:val="16"/>
                <w:highlight w:val="none"/>
                <w:lang w:eastAsia="zh-Hans"/>
              </w:rPr>
              <w:t xml:space="preserve"> </w:t>
            </w:r>
            <w:r>
              <w:rPr>
                <w:rFonts w:hint="eastAsia" w:cs="Arial"/>
                <w:b/>
                <w:bCs/>
                <w:sz w:val="22"/>
                <w:szCs w:val="16"/>
                <w:highlight w:val="none"/>
                <w:lang w:val="en-US" w:eastAsia="zh-Hans"/>
              </w:rPr>
              <w:t>Protection</w:t>
            </w:r>
            <w:r>
              <w:rPr>
                <w:rFonts w:hint="default" w:cs="Arial"/>
                <w:b/>
                <w:bCs/>
                <w:sz w:val="22"/>
                <w:szCs w:val="16"/>
                <w:highlight w:val="none"/>
                <w:lang w:eastAsia="zh-Hans"/>
              </w:rPr>
              <w:t xml:space="preserve"> </w:t>
            </w:r>
            <w:r>
              <w:rPr>
                <w:rFonts w:hint="eastAsia" w:cs="Arial"/>
                <w:b/>
                <w:bCs/>
                <w:sz w:val="22"/>
                <w:szCs w:val="16"/>
                <w:highlight w:val="none"/>
                <w:lang w:val="en-US" w:eastAsia="zh-Hans"/>
              </w:rPr>
              <w:t>Co</w:t>
            </w:r>
            <w:r>
              <w:rPr>
                <w:rFonts w:hint="default" w:cs="Arial"/>
                <w:b/>
                <w:bCs/>
                <w:sz w:val="22"/>
                <w:szCs w:val="16"/>
                <w:highlight w:val="none"/>
                <w:lang w:eastAsia="zh-Hans"/>
              </w:rPr>
              <w:t>., LTD</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sz w:val="21"/>
                <w:szCs w:val="16"/>
                <w:highlight w:val="none"/>
              </w:rPr>
            </w:pPr>
            <w:r>
              <w:rPr>
                <w:rFonts w:hint="eastAsia"/>
                <w:sz w:val="22"/>
                <w:szCs w:val="22"/>
                <w:highlight w:val="none"/>
              </w:rPr>
              <w:t xml:space="preserve">Environmental management activities of the sites involved in the sales of </w:t>
            </w:r>
            <w:r>
              <w:rPr>
                <w:rFonts w:hint="eastAsia"/>
                <w:sz w:val="22"/>
                <w:szCs w:val="22"/>
                <w:highlight w:val="none"/>
                <w:lang w:val="en-US" w:eastAsia="zh-Hans"/>
              </w:rPr>
              <w:t>raw</w:t>
            </w:r>
            <w:r>
              <w:rPr>
                <w:rFonts w:hint="eastAsia"/>
                <w:sz w:val="22"/>
                <w:szCs w:val="22"/>
                <w:highlight w:val="none"/>
              </w:rPr>
              <w:t xml:space="preserve"> copper and mineral products (except those requiring qualification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rFonts w:hint="default"/>
                <w:sz w:val="22"/>
                <w:szCs w:val="22"/>
                <w:highlight w:val="none"/>
              </w:rPr>
            </w:pPr>
            <w:r>
              <w:rPr>
                <w:rFonts w:hint="default"/>
                <w:sz w:val="22"/>
                <w:szCs w:val="22"/>
                <w:highlight w:val="none"/>
              </w:rPr>
              <w:t>NO.356 Changxing Avenue, Tianjia Town, Tongnan District, Chongqing(Independent Conmitment)</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rFonts w:hint="default"/>
                <w:sz w:val="22"/>
                <w:szCs w:val="22"/>
                <w:highlight w:val="none"/>
              </w:rPr>
              <w:t>2-2, Building 1, NO.356 Changxing Avenue, Tianjia Town, Tongnan District, Chongqing</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r>
              <w:rPr>
                <w:rFonts w:hint="default" w:cs="Arial"/>
                <w:b/>
                <w:bCs/>
                <w:sz w:val="22"/>
                <w:szCs w:val="16"/>
              </w:rPr>
              <w:t xml:space="preserve"> </w:t>
            </w:r>
            <w:bookmarkStart w:id="21" w:name="_GoBack"/>
            <w:bookmarkEnd w:id="21"/>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228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4DBC1F41"/>
    <w:rsid w:val="60A414B1"/>
    <w:rsid w:val="F7B34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763</Words>
  <Characters>1350</Characters>
  <Lines>18</Lines>
  <Paragraphs>5</Paragraphs>
  <TotalTime>33</TotalTime>
  <ScaleCrop>false</ScaleCrop>
  <LinksUpToDate>false</LinksUpToDate>
  <CharactersWithSpaces>1533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2022-08-08T01:26:42Z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11E033FD9D7445F57E0CEE6280D48163</vt:lpwstr>
  </property>
  <property fmtid="{D5CDD505-2E9C-101B-9397-08002B2CF9AE}" pid="3" name="KSOProductBuildVer">
    <vt:lpwstr>2052-11.1.0.11875</vt:lpwstr>
  </property>
</Properties>
</file>