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0564-2022-QO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重庆耀辉环保有限公司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2022年08月06日 上午至2022年08月06日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2022-N1QMS-4093566</w:t>
            </w:r>
          </w:p>
          <w:p>
            <w:pPr>
              <w:spacing w:line="240" w:lineRule="exact"/>
              <w:jc w:val="center"/>
              <w:rPr>
                <w:b/>
                <w:color w:val="000000"/>
                <w:szCs w:val="21"/>
              </w:rPr>
            </w:pPr>
            <w:r>
              <w:rPr>
                <w:b/>
                <w:color w:val="000000"/>
                <w:szCs w:val="21"/>
              </w:rPr>
              <w:t>2022-N1OHSMS-3093566</w:t>
            </w:r>
          </w:p>
        </w:tc>
        <w:tc>
          <w:tcPr>
            <w:tcW w:w="1140" w:type="dxa"/>
            <w:vAlign w:val="center"/>
          </w:tcPr>
          <w:p>
            <w:pPr>
              <w:spacing w:line="240" w:lineRule="exact"/>
              <w:jc w:val="center"/>
              <w:rPr>
                <w:b/>
                <w:color w:val="000000"/>
                <w:szCs w:val="21"/>
              </w:rPr>
            </w:pPr>
            <w:r>
              <w:rPr>
                <w:b/>
                <w:color w:val="000000"/>
                <w:szCs w:val="21"/>
              </w:rPr>
              <w:t>Q:39.03.01</w:t>
            </w:r>
          </w:p>
          <w:p>
            <w:pPr>
              <w:spacing w:line="240" w:lineRule="exact"/>
              <w:jc w:val="center"/>
              <w:rPr>
                <w:b/>
                <w:color w:val="000000"/>
                <w:szCs w:val="21"/>
              </w:rPr>
            </w:pPr>
            <w:r>
              <w:rPr>
                <w:b/>
                <w:color w:val="000000"/>
                <w:szCs w:val="21"/>
              </w:rPr>
              <w:t>O:39.03.01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姚健</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ISC-JSZJ-555</w:t>
            </w:r>
          </w:p>
          <w:p>
            <w:pPr>
              <w:spacing w:line="240" w:lineRule="exact"/>
              <w:jc w:val="center"/>
              <w:rPr>
                <w:b/>
                <w:color w:val="000000"/>
                <w:szCs w:val="21"/>
              </w:rPr>
            </w:pPr>
            <w:r>
              <w:rPr>
                <w:b/>
                <w:color w:val="000000"/>
                <w:szCs w:val="21"/>
              </w:rPr>
              <w:t>ISC-JSZJ-555</w:t>
            </w:r>
          </w:p>
          <w:p>
            <w:pPr>
              <w:spacing w:line="240" w:lineRule="exact"/>
              <w:jc w:val="center"/>
              <w:rPr>
                <w:b/>
                <w:color w:val="000000"/>
                <w:szCs w:val="21"/>
              </w:rPr>
            </w:pPr>
            <w:r>
              <w:rPr>
                <w:b/>
                <w:color w:val="000000"/>
                <w:szCs w:val="21"/>
              </w:rPr>
              <w:t>重庆伟世鑫盛环保科技有限公司</w:t>
            </w:r>
          </w:p>
        </w:tc>
        <w:tc>
          <w:tcPr>
            <w:tcW w:w="1140" w:type="dxa"/>
            <w:vAlign w:val="center"/>
          </w:tcPr>
          <w:p>
            <w:pPr>
              <w:spacing w:line="240" w:lineRule="exact"/>
              <w:jc w:val="center"/>
              <w:rPr>
                <w:b/>
                <w:color w:val="000000"/>
                <w:szCs w:val="21"/>
              </w:rPr>
            </w:pPr>
            <w:r>
              <w:rPr>
                <w:b/>
                <w:color w:val="000000"/>
                <w:szCs w:val="21"/>
              </w:rPr>
              <w:t>Q:39.03.02</w:t>
            </w:r>
          </w:p>
          <w:p>
            <w:pPr>
              <w:spacing w:line="240" w:lineRule="exact"/>
              <w:jc w:val="center"/>
              <w:rPr>
                <w:b/>
                <w:color w:val="000000"/>
                <w:szCs w:val="21"/>
              </w:rPr>
            </w:pPr>
            <w:r>
              <w:rPr>
                <w:b/>
                <w:color w:val="000000"/>
                <w:szCs w:val="21"/>
              </w:rPr>
              <w:t>O:39.03.02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b/>
                <w:color w:val="000000"/>
                <w:szCs w:val="21"/>
              </w:rPr>
              <w:t>姚健</w:t>
            </w:r>
          </w:p>
        </w:tc>
        <w:tc>
          <w:tcPr>
            <w:tcW w:w="1089" w:type="dxa"/>
            <w:vAlign w:val="center"/>
          </w:tcPr>
          <w:p>
            <w:pPr>
              <w:rPr>
                <w:rFonts w:hint="default" w:eastAsia="宋体"/>
                <w:b/>
                <w:color w:val="000000"/>
                <w:szCs w:val="21"/>
                <w:lang w:val="en-US" w:eastAsia="zh-CN"/>
              </w:rPr>
            </w:pPr>
            <w:r>
              <w:rPr>
                <w:rFonts w:hint="eastAsia"/>
                <w:b/>
                <w:color w:val="000000"/>
                <w:szCs w:val="21"/>
                <w:lang w:val="en-US" w:eastAsia="zh-CN"/>
              </w:rPr>
              <w:t>技术专家</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男</w:t>
            </w:r>
          </w:p>
        </w:tc>
        <w:tc>
          <w:tcPr>
            <w:tcW w:w="3870" w:type="dxa"/>
            <w:vAlign w:val="center"/>
          </w:tcPr>
          <w:p>
            <w:pPr>
              <w:rPr>
                <w:b/>
                <w:color w:val="000000"/>
                <w:szCs w:val="21"/>
              </w:rPr>
            </w:pPr>
            <w:r>
              <w:rPr>
                <w:b/>
                <w:color w:val="000000"/>
                <w:szCs w:val="21"/>
              </w:rPr>
              <w:t>重庆伟世鑫盛环保科技有限公司</w:t>
            </w:r>
          </w:p>
        </w:tc>
        <w:tc>
          <w:tcPr>
            <w:tcW w:w="2228" w:type="dxa"/>
            <w:gridSpan w:val="2"/>
            <w:vAlign w:val="center"/>
          </w:tcPr>
          <w:p>
            <w:pPr>
              <w:rPr>
                <w:rFonts w:hint="eastAsia" w:eastAsia="宋体"/>
                <w:b/>
                <w:color w:val="000000"/>
                <w:szCs w:val="21"/>
                <w:lang w:val="en-US" w:eastAsia="zh-CN"/>
              </w:rPr>
            </w:pPr>
            <w:r>
              <w:rPr>
                <w:rFonts w:hint="eastAsia"/>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重庆耀辉环保有限公司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重庆市潼南区田家镇长兴大道356号（自主承诺）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重庆市潼南区田家镇长兴大道356号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王宁</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18983869986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张青锋</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王宁</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许可范围内的工业废物（含资质范围内危险废物）的处置及综合利用。</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lang w:val="en-US" w:eastAsia="zh-CN"/>
              </w:rPr>
            </w:pPr>
            <w:r>
              <w:rPr>
                <w:rFonts w:hint="eastAsia"/>
                <w:lang w:val="en-US" w:eastAsia="zh-CN"/>
              </w:rPr>
              <w:t>固废评估（物理和化学成分）——取样分析——配料——熔炼——铜合金锭及炉渣处理。</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
              <w:t>许可范围内的工业废物（含资质范围内危险废物）的处置及综合利用。</w:t>
            </w:r>
          </w:p>
          <w:p>
            <w:pPr>
              <w:spacing w:line="400" w:lineRule="exact"/>
              <w:rPr>
                <w:rFonts w:ascii="宋体" w:hAnsi="宋体"/>
                <w:b/>
                <w:color w:val="000000"/>
                <w:szCs w:val="21"/>
              </w:rPr>
            </w:pPr>
          </w:p>
        </w:tc>
        <w:tc>
          <w:tcPr>
            <w:tcW w:w="2006" w:type="dxa"/>
            <w:gridSpan w:val="3"/>
            <w:vAlign w:val="center"/>
          </w:tcPr>
          <w:p>
            <w:bookmarkStart w:id="35" w:name="专业代码"/>
            <w:r>
              <w:t>Q：39.03.01;39.03.02</w:t>
            </w:r>
          </w:p>
          <w:bookmarkEnd w:id="35"/>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许可范围内的工业废物（含资质范围内危险废物）的处置及综合利用所涉及场所的相关职业健康安全管理活动</w:t>
            </w:r>
          </w:p>
        </w:tc>
        <w:tc>
          <w:tcPr>
            <w:tcW w:w="2006" w:type="dxa"/>
            <w:gridSpan w:val="3"/>
            <w:vAlign w:val="center"/>
          </w:tcPr>
          <w:p>
            <w:pPr>
              <w:spacing w:line="400" w:lineRule="exact"/>
              <w:rPr>
                <w:rFonts w:ascii="宋体" w:hAnsi="宋体"/>
                <w:b/>
                <w:color w:val="000000"/>
                <w:szCs w:val="21"/>
              </w:rPr>
            </w:pPr>
            <w:r>
              <w:t>O：39.03.01;39.03.02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15"/>
        <w:gridCol w:w="105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415"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5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重庆耀辉环保有限公司</w:t>
            </w:r>
            <w:r>
              <w:rPr>
                <w:rFonts w:hint="eastAsia"/>
                <w:sz w:val="21"/>
                <w:szCs w:val="21"/>
                <w:lang w:val="en-US" w:eastAsia="zh-CN"/>
              </w:rPr>
              <w:t>/</w:t>
            </w:r>
            <w:r>
              <w:rPr>
                <w:sz w:val="21"/>
                <w:szCs w:val="21"/>
              </w:rPr>
              <w:t>重庆市潼南区田家镇长兴大道356号（自主承诺）</w:t>
            </w:r>
          </w:p>
        </w:tc>
        <w:tc>
          <w:tcPr>
            <w:tcW w:w="2267" w:type="dxa"/>
          </w:tcPr>
          <w:p>
            <w:pPr>
              <w:spacing w:before="40" w:after="40"/>
              <w:rPr>
                <w:rFonts w:eastAsia="黑体"/>
                <w:szCs w:val="21"/>
                <w:lang w:val="de-DE" w:eastAsia="ja-JP"/>
              </w:rPr>
            </w:pPr>
            <w:r>
              <w:rPr>
                <w:sz w:val="21"/>
                <w:szCs w:val="21"/>
              </w:rPr>
              <w:t>重庆市潼南区田家镇长兴大道356号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150</w:t>
            </w:r>
          </w:p>
        </w:tc>
        <w:tc>
          <w:tcPr>
            <w:tcW w:w="2415" w:type="dxa"/>
            <w:vAlign w:val="center"/>
          </w:tcPr>
          <w:p>
            <w:r>
              <w:t>许可范围内的工业废物（含资质范围内危险废物）的处置及综合利用。</w:t>
            </w:r>
          </w:p>
          <w:p>
            <w:pPr>
              <w:pStyle w:val="21"/>
              <w:rPr>
                <w:rFonts w:eastAsia="黑体" w:cs="Arial"/>
                <w:sz w:val="21"/>
                <w:szCs w:val="21"/>
                <w:lang w:val="en-US" w:eastAsia="ja-JP"/>
              </w:rPr>
            </w:pPr>
          </w:p>
        </w:tc>
        <w:tc>
          <w:tcPr>
            <w:tcW w:w="1057"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MS Gothic" w:hAnsi="MS Gothic"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sz w:val="21"/>
                <w:szCs w:val="21"/>
              </w:rPr>
              <w:t>重庆耀辉环保有限公司</w:t>
            </w:r>
            <w:r>
              <w:rPr>
                <w:rFonts w:hint="eastAsia"/>
                <w:sz w:val="21"/>
                <w:szCs w:val="21"/>
                <w:lang w:val="en-US" w:eastAsia="zh-CN"/>
              </w:rPr>
              <w:t>/</w:t>
            </w:r>
            <w:r>
              <w:rPr>
                <w:sz w:val="21"/>
                <w:szCs w:val="21"/>
              </w:rPr>
              <w:t>重庆市潼南区田家镇长兴大道356号（自主承诺）</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重庆市潼南区田家镇长兴大道356号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150</w:t>
            </w:r>
          </w:p>
        </w:tc>
        <w:tc>
          <w:tcPr>
            <w:tcW w:w="2415" w:type="dxa"/>
            <w:vAlign w:val="center"/>
          </w:tcPr>
          <w:p>
            <w:pPr>
              <w:spacing w:before="40" w:after="40"/>
              <w:rPr>
                <w:rFonts w:eastAsia="黑体"/>
                <w:szCs w:val="21"/>
                <w:lang w:eastAsia="ja-JP"/>
              </w:rPr>
            </w:pPr>
            <w:r>
              <w:t>许可范围内的工业废物（含资质范围内危险废物）的处置及综合利用所涉及场所的相关职业健康安全管理活动</w:t>
            </w:r>
          </w:p>
        </w:tc>
        <w:tc>
          <w:tcPr>
            <w:tcW w:w="1057" w:type="dxa"/>
            <w:vAlign w:val="center"/>
          </w:tcPr>
          <w:p>
            <w:pPr>
              <w:rPr>
                <w:rFonts w:ascii="宋体" w:hAnsi="宋体"/>
                <w:b/>
                <w:sz w:val="21"/>
                <w:szCs w:val="21"/>
              </w:rPr>
            </w:pPr>
            <w:r>
              <w:rPr>
                <w:rFonts w:hint="eastAsia" w:ascii="宋体" w:hAnsi="宋体"/>
                <w:b/>
                <w:sz w:val="21"/>
                <w:szCs w:val="21"/>
              </w:rPr>
              <w:t>GB/T 45001-2020</w:t>
            </w:r>
          </w:p>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415" w:type="dxa"/>
            <w:vAlign w:val="center"/>
          </w:tcPr>
          <w:p>
            <w:pPr>
              <w:spacing w:before="40" w:after="40"/>
              <w:rPr>
                <w:rFonts w:eastAsia="黑体"/>
                <w:szCs w:val="21"/>
                <w:lang w:eastAsia="ja-JP"/>
              </w:rPr>
            </w:pPr>
          </w:p>
        </w:tc>
        <w:tc>
          <w:tcPr>
            <w:tcW w:w="1057"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415" w:type="dxa"/>
            <w:vAlign w:val="center"/>
          </w:tcPr>
          <w:p>
            <w:pPr>
              <w:spacing w:before="40" w:after="40"/>
              <w:rPr>
                <w:rFonts w:eastAsia="黑体"/>
                <w:szCs w:val="21"/>
                <w:lang w:eastAsia="ja-JP"/>
              </w:rPr>
            </w:pPr>
          </w:p>
        </w:tc>
        <w:tc>
          <w:tcPr>
            <w:tcW w:w="1057"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415" w:type="dxa"/>
            <w:vAlign w:val="center"/>
          </w:tcPr>
          <w:p>
            <w:pPr>
              <w:spacing w:before="40" w:after="40"/>
              <w:rPr>
                <w:rFonts w:eastAsia="黑体"/>
                <w:szCs w:val="21"/>
                <w:lang w:eastAsia="ja-JP"/>
              </w:rPr>
            </w:pPr>
          </w:p>
        </w:tc>
        <w:tc>
          <w:tcPr>
            <w:tcW w:w="1057"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2022年03</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 年07 月14日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b/>
                <w:bCs/>
                <w:color w:val="000000"/>
                <w:kern w:val="2"/>
                <w:sz w:val="21"/>
                <w:szCs w:val="18"/>
                <w:u w:val="single"/>
                <w:lang w:val="en-US" w:eastAsia="zh-CN" w:bidi="ar-SA"/>
              </w:rPr>
              <w:t xml:space="preserve"> </w:t>
            </w:r>
            <w:r>
              <w:rPr>
                <w:rFonts w:hint="eastAsia" w:ascii="宋体" w:hAnsi="宋体" w:eastAsia="宋体" w:cs="Times New Roman"/>
                <w:b/>
                <w:color w:val="000000"/>
                <w:kern w:val="2"/>
                <w:sz w:val="21"/>
                <w:szCs w:val="21"/>
                <w:u w:val="single"/>
                <w:lang w:val="en-US" w:eastAsia="zh-CN" w:bidi="ar-SA"/>
              </w:rPr>
              <w:t>2022年07 月28日</w:t>
            </w:r>
            <w:r>
              <w:rPr>
                <w:rFonts w:hint="eastAsia" w:ascii="Times New Roman" w:hAnsi="Times New Roman" w:eastAsia="宋体" w:cs="Times New Roman"/>
                <w:b w:val="0"/>
                <w:color w:val="000000"/>
                <w:kern w:val="2"/>
                <w:sz w:val="21"/>
                <w:szCs w:val="18"/>
                <w:u w:val="none"/>
                <w:lang w:val="en-US" w:eastAsia="zh-CN" w:bidi="ar-SA"/>
              </w:rPr>
              <w:t>完</w:t>
            </w:r>
            <w:r>
              <w:rPr>
                <w:rFonts w:hint="eastAsia" w:ascii="宋体" w:hAnsi="宋体" w:eastAsia="宋体"/>
                <w:color w:val="000000"/>
                <w:sz w:val="21"/>
                <w:szCs w:val="21"/>
                <w:u w:val="none"/>
                <w:lang w:val="en-US" w:eastAsia="zh-CN"/>
              </w:rPr>
              <w:t>成管理</w:t>
            </w:r>
            <w:r>
              <w:rPr>
                <w:rFonts w:hint="eastAsia" w:ascii="宋体" w:hAnsi="宋体" w:eastAsia="宋体"/>
                <w:color w:val="000000"/>
                <w:sz w:val="21"/>
                <w:szCs w:val="21"/>
                <w:lang w:val="en-US" w:eastAsia="zh-CN"/>
              </w:rPr>
              <w:t>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40" w:after="40"/>
        <w:rPr>
          <w:rFonts w:eastAsia="黑体"/>
          <w:szCs w:val="21"/>
        </w:rPr>
      </w:pP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b/>
                <w:color w:val="000000"/>
                <w:szCs w:val="21"/>
                <w:lang w:val="en-US" w:eastAsia="zh-CN"/>
              </w:rPr>
              <w:t xml:space="preserve">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w:t>
            </w:r>
            <w:bookmarkEnd w:id="36"/>
            <w:r>
              <w:rPr>
                <w:rFonts w:hint="eastAsia" w:ascii="宋体"/>
                <w:b/>
                <w:color w:val="000000"/>
                <w:szCs w:val="21"/>
                <w:lang w:val="en-US" w:eastAsia="zh-CN"/>
              </w:rPr>
              <w:t>8-08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543"/>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543" w:type="dxa"/>
            <w:vAlign w:val="center"/>
          </w:tcPr>
          <w:p>
            <w:pPr>
              <w:spacing w:line="400" w:lineRule="exact"/>
              <w:rPr>
                <w:rFonts w:ascii="宋体" w:hAnsi="宋体"/>
                <w:b/>
                <w:color w:val="000000"/>
                <w:szCs w:val="21"/>
              </w:rPr>
            </w:pPr>
          </w:p>
        </w:tc>
        <w:tc>
          <w:tcPr>
            <w:tcW w:w="1839"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543" w:type="dxa"/>
            <w:vAlign w:val="center"/>
          </w:tcPr>
          <w:p>
            <w:r>
              <w:t>许可范围内的工业废物（含资质范围内危险废物）的处置及综合利用。</w:t>
            </w:r>
          </w:p>
          <w:p>
            <w:pPr>
              <w:spacing w:line="400" w:lineRule="exact"/>
              <w:rPr>
                <w:rFonts w:ascii="宋体" w:hAnsi="宋体"/>
                <w:b/>
                <w:color w:val="000000"/>
                <w:szCs w:val="21"/>
              </w:rPr>
            </w:pPr>
          </w:p>
        </w:tc>
        <w:tc>
          <w:tcPr>
            <w:tcW w:w="1839" w:type="dxa"/>
            <w:vAlign w:val="center"/>
          </w:tcPr>
          <w:p>
            <w:r>
              <w:t>Q：39.03.01;39.03.02</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543" w:type="dxa"/>
            <w:vAlign w:val="center"/>
          </w:tcPr>
          <w:p>
            <w:pPr>
              <w:spacing w:line="400" w:lineRule="exact"/>
              <w:rPr>
                <w:rFonts w:ascii="宋体" w:hAnsi="宋体"/>
                <w:b/>
                <w:color w:val="000000"/>
                <w:szCs w:val="21"/>
              </w:rPr>
            </w:pPr>
          </w:p>
        </w:tc>
        <w:tc>
          <w:tcPr>
            <w:tcW w:w="1839"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543" w:type="dxa"/>
            <w:vAlign w:val="center"/>
          </w:tcPr>
          <w:p>
            <w:pPr>
              <w:spacing w:line="400" w:lineRule="exact"/>
              <w:rPr>
                <w:rFonts w:ascii="宋体" w:hAnsi="宋体"/>
                <w:b/>
                <w:color w:val="000000"/>
                <w:szCs w:val="21"/>
              </w:rPr>
            </w:pPr>
          </w:p>
        </w:tc>
        <w:tc>
          <w:tcPr>
            <w:tcW w:w="1839"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543" w:type="dxa"/>
            <w:vAlign w:val="center"/>
          </w:tcPr>
          <w:p>
            <w:pPr>
              <w:spacing w:line="400" w:lineRule="exact"/>
              <w:rPr>
                <w:rFonts w:ascii="宋体" w:hAnsi="宋体"/>
                <w:b/>
                <w:color w:val="000000"/>
                <w:szCs w:val="21"/>
              </w:rPr>
            </w:pPr>
            <w:r>
              <w:t>许可范围内的工业废物（含资质范围内危险废物）的处置及综合利用所涉及场所的相关职业健康安全管理活动</w:t>
            </w:r>
          </w:p>
        </w:tc>
        <w:tc>
          <w:tcPr>
            <w:tcW w:w="1839" w:type="dxa"/>
            <w:vAlign w:val="center"/>
          </w:tcPr>
          <w:p>
            <w:pPr>
              <w:spacing w:line="400" w:lineRule="exact"/>
              <w:rPr>
                <w:rFonts w:ascii="宋体" w:hAnsi="宋体"/>
                <w:b/>
                <w:color w:val="000000"/>
                <w:szCs w:val="21"/>
              </w:rPr>
            </w:pPr>
            <w:r>
              <w:t>O：39.03.01;39.03.02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543" w:type="dxa"/>
            <w:vAlign w:val="center"/>
          </w:tcPr>
          <w:p>
            <w:pPr>
              <w:spacing w:line="400" w:lineRule="exact"/>
              <w:rPr>
                <w:rFonts w:ascii="宋体" w:hAnsi="宋体"/>
                <w:b/>
                <w:color w:val="000000"/>
                <w:szCs w:val="21"/>
              </w:rPr>
            </w:pPr>
          </w:p>
        </w:tc>
        <w:tc>
          <w:tcPr>
            <w:tcW w:w="1839"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543" w:type="dxa"/>
            <w:vAlign w:val="center"/>
          </w:tcPr>
          <w:p>
            <w:pPr>
              <w:spacing w:line="400" w:lineRule="exact"/>
              <w:rPr>
                <w:rFonts w:ascii="宋体" w:hAnsi="宋体"/>
                <w:b/>
                <w:color w:val="000000"/>
                <w:szCs w:val="21"/>
              </w:rPr>
            </w:pPr>
          </w:p>
        </w:tc>
        <w:tc>
          <w:tcPr>
            <w:tcW w:w="1839"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543" w:type="dxa"/>
            <w:vAlign w:val="center"/>
          </w:tcPr>
          <w:p>
            <w:pPr>
              <w:spacing w:line="400" w:lineRule="exact"/>
              <w:rPr>
                <w:rFonts w:ascii="宋体" w:hAnsi="宋体"/>
                <w:b/>
                <w:color w:val="000000"/>
                <w:szCs w:val="21"/>
              </w:rPr>
            </w:pPr>
          </w:p>
        </w:tc>
        <w:tc>
          <w:tcPr>
            <w:tcW w:w="1839"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4718050</wp:posOffset>
            </wp:positionH>
            <wp:positionV relativeFrom="paragraph">
              <wp:posOffset>238760</wp:posOffset>
            </wp:positionV>
            <wp:extent cx="497840" cy="377190"/>
            <wp:effectExtent l="0" t="0" r="16510" b="381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97840" cy="377190"/>
                    </a:xfrm>
                    <a:prstGeom prst="rect">
                      <a:avLst/>
                    </a:prstGeom>
                    <a:noFill/>
                    <a:ln w="9525">
                      <a:noFill/>
                      <a:miter lim="800000"/>
                      <a:headEnd/>
                      <a:tailEnd/>
                    </a:ln>
                  </pic:spPr>
                </pic:pic>
              </a:graphicData>
            </a:graphic>
          </wp:anchor>
        </w:drawing>
      </w:r>
      <w:r>
        <w:drawing>
          <wp:anchor distT="0" distB="0" distL="114300" distR="114300" simplePos="0" relativeHeight="251663360" behindDoc="0" locked="0" layoutInCell="1" allowOverlap="1">
            <wp:simplePos x="0" y="0"/>
            <wp:positionH relativeFrom="column">
              <wp:posOffset>3889375</wp:posOffset>
            </wp:positionH>
            <wp:positionV relativeFrom="paragraph">
              <wp:posOffset>314325</wp:posOffset>
            </wp:positionV>
            <wp:extent cx="660400" cy="340995"/>
            <wp:effectExtent l="0" t="0" r="6350" b="1905"/>
            <wp:wrapNone/>
            <wp:docPr id="53" name="图片 53" descr="720ee176adb631ef70b8c21b99c55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720ee176adb631ef70b8c21b99c55ea"/>
                    <pic:cNvPicPr>
                      <a:picLocks noChangeAspect="1"/>
                    </pic:cNvPicPr>
                  </pic:nvPicPr>
                  <pic:blipFill>
                    <a:blip r:embed="rId7"/>
                    <a:stretch>
                      <a:fillRect/>
                    </a:stretch>
                  </pic:blipFill>
                  <pic:spPr>
                    <a:xfrm>
                      <a:off x="0" y="0"/>
                      <a:ext cx="660400" cy="34099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1771650</wp:posOffset>
            </wp:positionH>
            <wp:positionV relativeFrom="paragraph">
              <wp:posOffset>318770</wp:posOffset>
            </wp:positionV>
            <wp:extent cx="469900" cy="395605"/>
            <wp:effectExtent l="0" t="0" r="6350" b="4445"/>
            <wp:wrapNone/>
            <wp:docPr id="2"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 descr="15cd665cf2cf133a499ed811c6806d9"/>
                    <pic:cNvPicPr>
                      <a:picLocks noChangeAspect="1"/>
                    </pic:cNvPicPr>
                  </pic:nvPicPr>
                  <pic:blipFill>
                    <a:blip r:embed="rId8"/>
                    <a:stretch>
                      <a:fillRect/>
                    </a:stretch>
                  </pic:blipFill>
                  <pic:spPr>
                    <a:xfrm>
                      <a:off x="0" y="0"/>
                      <a:ext cx="469900" cy="395605"/>
                    </a:xfrm>
                    <a:prstGeom prst="rect">
                      <a:avLst/>
                    </a:prstGeom>
                    <a:noFill/>
                    <a:ln>
                      <a:noFill/>
                    </a:ln>
                  </pic:spPr>
                </pic:pic>
              </a:graphicData>
            </a:graphic>
          </wp:anchor>
        </w:drawing>
      </w:r>
      <w:r>
        <w:rPr>
          <w:rFonts w:hint="eastAsia" w:ascii="宋体" w:hAnsi="宋体"/>
          <w:b/>
          <w:bCs/>
          <w:color w:val="000000"/>
          <w:szCs w:val="21"/>
        </w:rPr>
        <w:t>十一、审核组签字</w:t>
      </w:r>
      <w:bookmarkStart w:id="37" w:name="_GoBack"/>
      <w:bookmarkEnd w:id="37"/>
    </w:p>
    <w:p>
      <w:pPr>
        <w:spacing w:line="400" w:lineRule="exact"/>
        <w:ind w:firstLine="840" w:firstLineChars="400"/>
        <w:rPr>
          <w:rFonts w:ascii="宋体"/>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5309235</wp:posOffset>
            </wp:positionH>
            <wp:positionV relativeFrom="paragraph">
              <wp:posOffset>22225</wp:posOffset>
            </wp:positionV>
            <wp:extent cx="812800" cy="400050"/>
            <wp:effectExtent l="0" t="0" r="6350" b="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9"/>
                    <a:stretch>
                      <a:fillRect/>
                    </a:stretch>
                  </pic:blipFill>
                  <pic:spPr>
                    <a:xfrm>
                      <a:off x="0" y="0"/>
                      <a:ext cx="812800" cy="40005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2022年8月6日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重庆耀辉环保有限公司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04"/>
        <w:gridCol w:w="1904"/>
        <w:gridCol w:w="114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292"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904"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48"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836"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p>
        </w:tc>
        <w:tc>
          <w:tcPr>
            <w:tcW w:w="5292" w:type="dxa"/>
            <w:gridSpan w:val="2"/>
            <w:vAlign w:val="center"/>
          </w:tcPr>
          <w:p>
            <w:pPr>
              <w:pStyle w:val="8"/>
              <w:pBdr>
                <w:bottom w:val="none" w:color="auto" w:sz="0" w:space="0"/>
              </w:pBdr>
              <w:tabs>
                <w:tab w:val="center" w:pos="5737"/>
                <w:tab w:val="clear" w:pos="4153"/>
              </w:tabs>
              <w:jc w:val="center"/>
              <w:rPr>
                <w:rFonts w:hint="default" w:eastAsia="宋体"/>
                <w:color w:val="000000"/>
                <w:sz w:val="21"/>
                <w:szCs w:val="21"/>
                <w:lang w:val="en-US" w:eastAsia="zh-CN"/>
              </w:rPr>
            </w:pPr>
            <w:r>
              <w:rPr>
                <w:rFonts w:hint="eastAsia"/>
                <w:color w:val="000000"/>
                <w:sz w:val="21"/>
                <w:szCs w:val="21"/>
                <w:lang w:val="en-US" w:eastAsia="zh-CN"/>
              </w:rPr>
              <w:t>无</w:t>
            </w:r>
          </w:p>
        </w:tc>
        <w:tc>
          <w:tcPr>
            <w:tcW w:w="1904" w:type="dxa"/>
            <w:vAlign w:val="center"/>
          </w:tcPr>
          <w:p>
            <w:pPr>
              <w:pStyle w:val="8"/>
              <w:pBdr>
                <w:bottom w:val="none" w:color="auto" w:sz="0" w:space="0"/>
              </w:pBdr>
              <w:tabs>
                <w:tab w:val="center" w:pos="5737"/>
                <w:tab w:val="clear" w:pos="4153"/>
              </w:tabs>
              <w:jc w:val="both"/>
              <w:rPr>
                <w:rFonts w:hint="eastAsia" w:ascii="Times New Roman" w:hAnsi="Times New Roman" w:eastAsia="宋体" w:cs="Times New Roman"/>
                <w:b/>
                <w:bCs/>
                <w:color w:val="000000"/>
                <w:kern w:val="2"/>
                <w:sz w:val="21"/>
                <w:szCs w:val="21"/>
                <w:lang w:val="en-US" w:eastAsia="zh-CN" w:bidi="ar-SA"/>
              </w:rPr>
            </w:pPr>
          </w:p>
        </w:tc>
        <w:tc>
          <w:tcPr>
            <w:tcW w:w="1148" w:type="dxa"/>
            <w:vAlign w:val="center"/>
          </w:tcPr>
          <w:p>
            <w:pPr>
              <w:pStyle w:val="8"/>
              <w:pBdr>
                <w:bottom w:val="none" w:color="auto" w:sz="0" w:space="0"/>
              </w:pBdr>
              <w:tabs>
                <w:tab w:val="center" w:pos="5737"/>
                <w:tab w:val="clear" w:pos="4153"/>
              </w:tabs>
              <w:jc w:val="both"/>
              <w:rPr>
                <w:rFonts w:hint="default" w:ascii="Times New Roman" w:hAnsi="Times New Roman" w:eastAsia="宋体" w:cs="Times New Roman"/>
                <w:b/>
                <w:bCs/>
                <w:color w:val="000000"/>
                <w:kern w:val="2"/>
                <w:sz w:val="21"/>
                <w:szCs w:val="21"/>
                <w:lang w:val="en-US" w:eastAsia="zh-CN" w:bidi="ar-SA"/>
              </w:rPr>
            </w:pPr>
          </w:p>
        </w:tc>
        <w:tc>
          <w:tcPr>
            <w:tcW w:w="836" w:type="dxa"/>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292"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904" w:type="dxa"/>
            <w:vAlign w:val="center"/>
          </w:tcPr>
          <w:p>
            <w:pPr>
              <w:pStyle w:val="8"/>
              <w:pBdr>
                <w:bottom w:val="none" w:color="auto" w:sz="0" w:space="0"/>
              </w:pBdr>
              <w:ind w:right="600"/>
              <w:jc w:val="both"/>
              <w:rPr>
                <w:color w:val="000000"/>
                <w:sz w:val="21"/>
                <w:szCs w:val="21"/>
              </w:rPr>
            </w:pPr>
          </w:p>
        </w:tc>
        <w:tc>
          <w:tcPr>
            <w:tcW w:w="1148" w:type="dxa"/>
            <w:vAlign w:val="center"/>
          </w:tcPr>
          <w:p>
            <w:pPr>
              <w:pStyle w:val="8"/>
              <w:pBdr>
                <w:bottom w:val="none" w:color="auto" w:sz="0" w:space="0"/>
              </w:pBdr>
              <w:ind w:right="600"/>
              <w:jc w:val="both"/>
              <w:rPr>
                <w:color w:val="000000"/>
                <w:sz w:val="21"/>
                <w:szCs w:val="21"/>
              </w:rPr>
            </w:pPr>
          </w:p>
        </w:tc>
        <w:tc>
          <w:tcPr>
            <w:tcW w:w="836"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292"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904" w:type="dxa"/>
            <w:vAlign w:val="center"/>
          </w:tcPr>
          <w:p>
            <w:pPr>
              <w:pStyle w:val="8"/>
              <w:pBdr>
                <w:bottom w:val="none" w:color="auto" w:sz="0" w:space="0"/>
              </w:pBdr>
              <w:ind w:right="600"/>
              <w:jc w:val="both"/>
              <w:rPr>
                <w:color w:val="000000"/>
                <w:sz w:val="21"/>
                <w:szCs w:val="21"/>
              </w:rPr>
            </w:pPr>
          </w:p>
        </w:tc>
        <w:tc>
          <w:tcPr>
            <w:tcW w:w="1148" w:type="dxa"/>
            <w:vAlign w:val="center"/>
          </w:tcPr>
          <w:p>
            <w:pPr>
              <w:pStyle w:val="8"/>
              <w:pBdr>
                <w:bottom w:val="none" w:color="auto" w:sz="0" w:space="0"/>
              </w:pBdr>
              <w:ind w:right="600"/>
              <w:jc w:val="both"/>
              <w:rPr>
                <w:color w:val="000000"/>
                <w:sz w:val="21"/>
                <w:szCs w:val="21"/>
              </w:rPr>
            </w:pPr>
          </w:p>
        </w:tc>
        <w:tc>
          <w:tcPr>
            <w:tcW w:w="836"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292"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904" w:type="dxa"/>
            <w:vAlign w:val="center"/>
          </w:tcPr>
          <w:p>
            <w:pPr>
              <w:pStyle w:val="8"/>
              <w:pBdr>
                <w:bottom w:val="none" w:color="auto" w:sz="0" w:space="0"/>
              </w:pBdr>
              <w:ind w:right="600"/>
              <w:jc w:val="both"/>
              <w:rPr>
                <w:color w:val="000000"/>
                <w:sz w:val="21"/>
                <w:szCs w:val="21"/>
              </w:rPr>
            </w:pPr>
          </w:p>
        </w:tc>
        <w:tc>
          <w:tcPr>
            <w:tcW w:w="1148" w:type="dxa"/>
            <w:vAlign w:val="center"/>
          </w:tcPr>
          <w:p>
            <w:pPr>
              <w:pStyle w:val="8"/>
              <w:pBdr>
                <w:bottom w:val="none" w:color="auto" w:sz="0" w:space="0"/>
              </w:pBdr>
              <w:ind w:right="600"/>
              <w:jc w:val="both"/>
              <w:rPr>
                <w:color w:val="000000"/>
                <w:sz w:val="21"/>
                <w:szCs w:val="21"/>
              </w:rPr>
            </w:pPr>
          </w:p>
        </w:tc>
        <w:tc>
          <w:tcPr>
            <w:tcW w:w="836"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292"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904" w:type="dxa"/>
            <w:vAlign w:val="center"/>
          </w:tcPr>
          <w:p>
            <w:pPr>
              <w:pStyle w:val="8"/>
              <w:pBdr>
                <w:bottom w:val="none" w:color="auto" w:sz="0" w:space="0"/>
              </w:pBdr>
              <w:ind w:right="600"/>
              <w:jc w:val="both"/>
              <w:rPr>
                <w:color w:val="000000"/>
                <w:sz w:val="21"/>
                <w:szCs w:val="21"/>
              </w:rPr>
            </w:pPr>
          </w:p>
        </w:tc>
        <w:tc>
          <w:tcPr>
            <w:tcW w:w="1148" w:type="dxa"/>
            <w:vAlign w:val="center"/>
          </w:tcPr>
          <w:p>
            <w:pPr>
              <w:pStyle w:val="8"/>
              <w:pBdr>
                <w:bottom w:val="none" w:color="auto" w:sz="0" w:space="0"/>
              </w:pBdr>
              <w:ind w:right="600"/>
              <w:jc w:val="both"/>
              <w:rPr>
                <w:color w:val="000000"/>
                <w:sz w:val="21"/>
                <w:szCs w:val="21"/>
              </w:rPr>
            </w:pPr>
          </w:p>
        </w:tc>
        <w:tc>
          <w:tcPr>
            <w:tcW w:w="836"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6432" behindDoc="0" locked="0" layoutInCell="1" allowOverlap="1">
                  <wp:simplePos x="0" y="0"/>
                  <wp:positionH relativeFrom="column">
                    <wp:posOffset>807720</wp:posOffset>
                  </wp:positionH>
                  <wp:positionV relativeFrom="paragraph">
                    <wp:posOffset>6350</wp:posOffset>
                  </wp:positionV>
                  <wp:extent cx="371475" cy="341630"/>
                  <wp:effectExtent l="0" t="0" r="9525" b="1270"/>
                  <wp:wrapNone/>
                  <wp:docPr id="5" name="图片 5"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王宁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7456" behindDoc="0" locked="0" layoutInCell="1" allowOverlap="1">
                  <wp:simplePos x="0" y="0"/>
                  <wp:positionH relativeFrom="column">
                    <wp:posOffset>608965</wp:posOffset>
                  </wp:positionH>
                  <wp:positionV relativeFrom="paragraph">
                    <wp:posOffset>46355</wp:posOffset>
                  </wp:positionV>
                  <wp:extent cx="371475" cy="341630"/>
                  <wp:effectExtent l="0" t="0" r="9525" b="1270"/>
                  <wp:wrapNone/>
                  <wp:docPr id="6" name="图片 6"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004E2B4C"/>
    <w:rsid w:val="12B64DD7"/>
    <w:rsid w:val="1C2A14C4"/>
    <w:rsid w:val="42EA5DCA"/>
    <w:rsid w:val="4AD21F80"/>
    <w:rsid w:val="558158C5"/>
    <w:rsid w:val="5CB53308"/>
    <w:rsid w:val="69B2437E"/>
    <w:rsid w:val="6C875C30"/>
    <w:rsid w:val="707334C9"/>
    <w:rsid w:val="740046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7592</Words>
  <Characters>8367</Characters>
  <Lines>67</Lines>
  <Paragraphs>18</Paragraphs>
  <TotalTime>7</TotalTime>
  <ScaleCrop>false</ScaleCrop>
  <LinksUpToDate>false</LinksUpToDate>
  <CharactersWithSpaces>8432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2022-08-09T03:19:53Z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