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0941-2022-Q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石家庄广才机械制造有限公司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91130123058192340X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石家庄广才机械制造有限公司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机械设备（食品机械设备、包装机械设备、制药设备、非标自动化智能设备）及配件的生产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正定县北早现乡下水屯村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正定县北早现乡下水屯村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Shijiazhuang Guangcai Machinery Manufacturing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Production of mechanical equipment (food machinery equipment, packaging machinery equipment, pharmaceutical equipment, non-standard automatic intelligent equipment) and accessories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Xiashuitun village, beizaoxian Township, Zhengding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Xiashuitun village, beizaoxian Township, Zhengding County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638165" cy="7443470"/>
            <wp:effectExtent l="0" t="0" r="63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744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1F00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cUAsCNgAAAAJAQAA&#10;DwAAAAAAAAABACAAAAAiAAAAZHJzL2Rvd25yZXYueG1sUEsBAhQAFAAAAAgAh07iQILJ1h2nAQAA&#10;LAMAAA4AAAAAAAAAAQAgAAAAJwEAAGRycy9lMm9Eb2MueG1sUEsFBgAAAAAGAAYAWQEAAEA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TkyMDkyOGJlNTM1YmZkMDI4MzAxZjVmNjI3OTUifQ=="/>
  </w:docVars>
  <w:rsids>
    <w:rsidRoot w:val="00000000"/>
    <w:rsid w:val="0B21104E"/>
    <w:rsid w:val="3CD03CF0"/>
    <w:rsid w:val="69CE6DEE"/>
    <w:rsid w:val="780668AA"/>
    <w:rsid w:val="7E834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453</Words>
  <Characters>886</Characters>
  <Lines>18</Lines>
  <Paragraphs>5</Paragraphs>
  <TotalTime>0</TotalTime>
  <ScaleCrop>false</ScaleCrop>
  <LinksUpToDate>false</LinksUpToDate>
  <CharactersWithSpaces>1013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2022-08-11T00:44:00Z</cp:lastPrinted>
  <dcterms:modified xsi:type="dcterms:W3CDTF">2022-08-13T01:10:22Z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E3FDBD5B64F84B30933604D22779999D</vt:lpwstr>
  </property>
  <property fmtid="{D5CDD505-2E9C-101B-9397-08002B2CF9AE}" pid="3" name="KSOProductBuildVer">
    <vt:lpwstr>2052-10.1.0.6875</vt:lpwstr>
  </property>
</Properties>
</file>