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156"/>
        <w:gridCol w:w="352"/>
        <w:gridCol w:w="782"/>
        <w:gridCol w:w="2012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河北西环融合汽车服务有限公司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Q：29.02.00;29.03.01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18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孙岩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1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29.02.00,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企业</w:t>
            </w: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周文廷</w:t>
            </w:r>
          </w:p>
        </w:tc>
        <w:tc>
          <w:tcPr>
            <w:tcW w:w="115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56" w:type="dxa"/>
            <w:vAlign w:val="center"/>
          </w:tcPr>
          <w:p>
            <w:pPr>
              <w:snapToGrid w:val="0"/>
              <w:spacing w:line="360" w:lineRule="exac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</w:pPr>
          </w:p>
        </w:tc>
        <w:tc>
          <w:tcPr>
            <w:tcW w:w="2012" w:type="dxa"/>
            <w:vAlign w:val="center"/>
          </w:tcPr>
          <w:p>
            <w:pPr>
              <w:snapToGrid w:val="0"/>
              <w:spacing w:line="360" w:lineRule="exact"/>
              <w:jc w:val="center"/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汽车钣金/喷漆工艺流程：</w:t>
            </w:r>
          </w:p>
          <w:p>
            <w:pPr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拆卸钣金部位的零部件-垫圈焊接拉平-锤平矫正</w:t>
            </w:r>
            <w:r>
              <w:rPr>
                <w:rFonts w:ascii="楷体" w:hAnsi="楷体" w:eastAsia="楷体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防锈处理</w:t>
            </w:r>
            <w:r>
              <w:rPr>
                <w:rFonts w:ascii="楷体" w:hAnsi="楷体" w:eastAsia="楷体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腻子整形</w:t>
            </w:r>
            <w:r>
              <w:rPr>
                <w:rFonts w:ascii="楷体" w:hAnsi="楷体" w:eastAsia="楷体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漆层处理-组装-质检-交车</w:t>
            </w:r>
          </w:p>
          <w:p>
            <w:pPr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关键工序：拉平、矫正、整形、漆层处理</w:t>
            </w:r>
          </w:p>
          <w:p>
            <w:pPr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特殊过程：漆层处理</w:t>
            </w:r>
          </w:p>
          <w:p>
            <w:pPr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汽车保养工艺流程：</w:t>
            </w:r>
          </w:p>
          <w:p>
            <w:pPr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了解车辆信息-与车主确定保养项目</w:t>
            </w:r>
            <w:r>
              <w:rPr>
                <w:rFonts w:ascii="楷体" w:hAnsi="楷体" w:eastAsia="楷体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实施保养</w:t>
            </w:r>
            <w:r>
              <w:rPr>
                <w:rFonts w:ascii="楷体" w:hAnsi="楷体" w:eastAsia="楷体"/>
                <w:sz w:val="21"/>
                <w:szCs w:val="21"/>
              </w:rPr>
              <w:t>—质检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-交车</w:t>
            </w:r>
          </w:p>
          <w:p>
            <w:pPr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关键过程：保养</w:t>
            </w:r>
          </w:p>
          <w:p>
            <w:pPr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汽车维修工艺流程：</w:t>
            </w:r>
          </w:p>
          <w:p>
            <w:pPr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了解车辆信息-电脑检测</w:t>
            </w:r>
            <w:r>
              <w:rPr>
                <w:rFonts w:ascii="楷体" w:hAnsi="楷体" w:eastAsia="楷体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与客户确定维修项目</w:t>
            </w:r>
            <w:r>
              <w:rPr>
                <w:rFonts w:ascii="楷体" w:hAnsi="楷体" w:eastAsia="楷体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拆卸相关部位-沟通确定维修方案-维修</w:t>
            </w:r>
            <w:r>
              <w:rPr>
                <w:rFonts w:ascii="楷体" w:hAnsi="楷体" w:eastAsia="楷体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质检</w:t>
            </w:r>
            <w:r>
              <w:rPr>
                <w:rFonts w:ascii="楷体" w:hAnsi="楷体" w:eastAsia="楷体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交车</w:t>
            </w:r>
          </w:p>
          <w:p>
            <w:pPr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关键工序：确定维修项目、维修、质检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特殊工序：维修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生产任务未按时完成，设备故障，工人操作不当，控制措施：生产和服务控制程序、设备操作规程、作业指导书；特殊过程为挤出，是否从人员、设备、工艺等方面进行了确认。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rPr>
                <w:rFonts w:ascii="楷体" w:hAnsi="楷体" w:eastAsia="楷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产品质量法、合同法、标准化法、招标投标法及汽车维修的相关国家标准、行业标准、</w:t>
            </w:r>
            <w:r>
              <w:rPr>
                <w:rFonts w:ascii="楷体" w:hAnsi="楷体" w:eastAsia="楷体"/>
                <w:sz w:val="21"/>
                <w:szCs w:val="21"/>
                <w:shd w:val="clear" w:color="auto" w:fill="FFFFFF"/>
              </w:rPr>
              <w:t>GB 1495 机动车辆允许噪声</w:t>
            </w:r>
            <w:r>
              <w:rPr>
                <w:rFonts w:ascii="楷体" w:hAnsi="楷体" w:eastAsia="楷体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/>
                <w:sz w:val="21"/>
                <w:szCs w:val="21"/>
                <w:shd w:val="clear" w:color="auto" w:fill="FFFFFF"/>
              </w:rPr>
              <w:t xml:space="preserve">    </w:t>
            </w:r>
            <w:r>
              <w:rPr>
                <w:rFonts w:ascii="楷体" w:hAnsi="楷体" w:eastAsia="楷体"/>
                <w:sz w:val="21"/>
                <w:szCs w:val="21"/>
                <w:shd w:val="clear" w:color="auto" w:fill="FFFFFF"/>
              </w:rPr>
              <w:t>GB 1496 机动车辆噪声测量方法</w:t>
            </w:r>
            <w:r>
              <w:rPr>
                <w:rFonts w:ascii="楷体" w:hAnsi="楷体" w:eastAsia="楷体"/>
                <w:sz w:val="21"/>
                <w:szCs w:val="21"/>
              </w:rPr>
              <w:br w:type="textWrapping"/>
            </w:r>
            <w:r>
              <w:rPr>
                <w:rFonts w:ascii="楷体" w:hAnsi="楷体" w:eastAsia="楷体"/>
                <w:sz w:val="21"/>
                <w:szCs w:val="21"/>
                <w:shd w:val="clear" w:color="auto" w:fill="FFFFFF"/>
              </w:rPr>
              <w:t>　　GB 1743 漆膜光泽测定法</w:t>
            </w:r>
            <w:r>
              <w:rPr>
                <w:rFonts w:ascii="楷体" w:hAnsi="楷体" w:eastAsia="楷体"/>
                <w:sz w:val="21"/>
                <w:szCs w:val="21"/>
              </w:rPr>
              <w:br w:type="textWrapping"/>
            </w:r>
            <w:r>
              <w:rPr>
                <w:rFonts w:ascii="楷体" w:hAnsi="楷体" w:eastAsia="楷体"/>
                <w:sz w:val="21"/>
                <w:szCs w:val="21"/>
                <w:shd w:val="clear" w:color="auto" w:fill="FFFFFF"/>
              </w:rPr>
              <w:t>　　GB 3798 汽车大修竣工出厂技术条件</w:t>
            </w:r>
            <w:r>
              <w:rPr>
                <w:rFonts w:ascii="楷体" w:hAnsi="楷体" w:eastAsia="楷体"/>
                <w:sz w:val="21"/>
                <w:szCs w:val="21"/>
              </w:rPr>
              <w:br w:type="textWrapping"/>
            </w:r>
            <w:r>
              <w:rPr>
                <w:rFonts w:ascii="楷体" w:hAnsi="楷体" w:eastAsia="楷体"/>
                <w:sz w:val="21"/>
                <w:szCs w:val="21"/>
                <w:shd w:val="clear" w:color="auto" w:fill="FFFFFF"/>
              </w:rPr>
              <w:t>　　GB/T 3845 汽油车怠速污染物测量方法</w:t>
            </w:r>
            <w:r>
              <w:rPr>
                <w:rFonts w:ascii="楷体" w:hAnsi="楷体" w:eastAsia="楷体"/>
                <w:sz w:val="21"/>
                <w:szCs w:val="21"/>
              </w:rPr>
              <w:br w:type="textWrapping"/>
            </w:r>
            <w:r>
              <w:rPr>
                <w:rFonts w:ascii="楷体" w:hAnsi="楷体" w:eastAsia="楷体"/>
                <w:sz w:val="21"/>
                <w:szCs w:val="21"/>
                <w:shd w:val="clear" w:color="auto" w:fill="FFFFFF"/>
              </w:rPr>
              <w:t>　　GB/T 3846 柴油车自由加速烟度测量方法</w:t>
            </w:r>
            <w:r>
              <w:rPr>
                <w:rFonts w:ascii="楷体" w:hAnsi="楷体" w:eastAsia="楷体"/>
                <w:sz w:val="21"/>
                <w:szCs w:val="21"/>
              </w:rPr>
              <w:br w:type="textWrapping"/>
            </w:r>
            <w:r>
              <w:rPr>
                <w:rFonts w:ascii="楷体" w:hAnsi="楷体" w:eastAsia="楷体"/>
                <w:sz w:val="21"/>
                <w:szCs w:val="21"/>
                <w:shd w:val="clear" w:color="auto" w:fill="FFFFFF"/>
              </w:rPr>
              <w:t>　　GB 4785 汽车及挂车外部照明和信号装置的数量、位置和光色</w:t>
            </w:r>
            <w:r>
              <w:rPr>
                <w:rFonts w:ascii="楷体" w:hAnsi="楷体" w:eastAsia="楷体"/>
                <w:sz w:val="21"/>
                <w:szCs w:val="21"/>
              </w:rPr>
              <w:br w:type="textWrapping"/>
            </w:r>
            <w:r>
              <w:rPr>
                <w:rFonts w:ascii="楷体" w:hAnsi="楷体" w:eastAsia="楷体"/>
                <w:sz w:val="21"/>
                <w:szCs w:val="21"/>
                <w:shd w:val="clear" w:color="auto" w:fill="FFFFFF"/>
              </w:rPr>
              <w:t>　　GB 7258 机动车运行安全技术条件</w:t>
            </w:r>
            <w:r>
              <w:rPr>
                <w:rFonts w:ascii="楷体" w:hAnsi="楷体" w:eastAsia="楷体"/>
                <w:sz w:val="21"/>
                <w:szCs w:val="21"/>
              </w:rPr>
              <w:br w:type="textWrapping"/>
            </w:r>
            <w:r>
              <w:rPr>
                <w:rFonts w:ascii="楷体" w:hAnsi="楷体" w:eastAsia="楷体"/>
                <w:sz w:val="21"/>
                <w:szCs w:val="21"/>
                <w:shd w:val="clear" w:color="auto" w:fill="FFFFFF"/>
              </w:rPr>
              <w:t>　　GB/T 12478 客车防尘密封性试验方法</w:t>
            </w:r>
            <w:r>
              <w:rPr>
                <w:rFonts w:ascii="楷体" w:hAnsi="楷体" w:eastAsia="楷体"/>
                <w:sz w:val="21"/>
                <w:szCs w:val="21"/>
              </w:rPr>
              <w:br w:type="textWrapping"/>
            </w:r>
            <w:r>
              <w:rPr>
                <w:rFonts w:ascii="楷体" w:hAnsi="楷体" w:eastAsia="楷体"/>
                <w:sz w:val="21"/>
                <w:szCs w:val="21"/>
                <w:shd w:val="clear" w:color="auto" w:fill="FFFFFF"/>
              </w:rPr>
              <w:t>　　GB 12479 客车防尘密封性限值</w:t>
            </w:r>
            <w:r>
              <w:rPr>
                <w:rFonts w:ascii="楷体" w:hAnsi="楷体" w:eastAsia="楷体"/>
                <w:sz w:val="21"/>
                <w:szCs w:val="21"/>
              </w:rPr>
              <w:br w:type="textWrapping"/>
            </w:r>
            <w:r>
              <w:rPr>
                <w:rFonts w:ascii="楷体" w:hAnsi="楷体" w:eastAsia="楷体"/>
                <w:sz w:val="21"/>
                <w:szCs w:val="21"/>
                <w:shd w:val="clear" w:color="auto" w:fill="FFFFFF"/>
              </w:rPr>
              <w:t>　　GB/T 12480 客车防雨密封性试验方法</w:t>
            </w:r>
            <w:r>
              <w:rPr>
                <w:rFonts w:ascii="楷体" w:hAnsi="楷体" w:eastAsia="楷体"/>
                <w:sz w:val="21"/>
                <w:szCs w:val="21"/>
              </w:rPr>
              <w:br w:type="textWrapping"/>
            </w:r>
            <w:r>
              <w:rPr>
                <w:rFonts w:ascii="楷体" w:hAnsi="楷体" w:eastAsia="楷体"/>
                <w:sz w:val="21"/>
                <w:szCs w:val="21"/>
                <w:shd w:val="clear" w:color="auto" w:fill="FFFFFF"/>
              </w:rPr>
              <w:t>　　GB 12481 客车防雨密封性限值</w:t>
            </w:r>
            <w:r>
              <w:rPr>
                <w:rFonts w:ascii="楷体" w:hAnsi="楷体" w:eastAsia="楷体"/>
                <w:sz w:val="21"/>
                <w:szCs w:val="21"/>
              </w:rPr>
              <w:br w:type="textWrapping"/>
            </w:r>
            <w:r>
              <w:rPr>
                <w:rFonts w:ascii="楷体" w:hAnsi="楷体" w:eastAsia="楷体"/>
                <w:sz w:val="21"/>
                <w:szCs w:val="21"/>
                <w:shd w:val="clear" w:color="auto" w:fill="FFFFFF"/>
              </w:rPr>
              <w:t>　　GB/T 12536 汽车滑行试验方法</w:t>
            </w:r>
            <w:r>
              <w:rPr>
                <w:rFonts w:ascii="楷体" w:hAnsi="楷体" w:eastAsia="楷体"/>
                <w:sz w:val="21"/>
                <w:szCs w:val="21"/>
              </w:rPr>
              <w:br w:type="textWrapping"/>
            </w:r>
            <w:r>
              <w:rPr>
                <w:rFonts w:ascii="楷体" w:hAnsi="楷体" w:eastAsia="楷体"/>
                <w:sz w:val="21"/>
                <w:szCs w:val="21"/>
                <w:shd w:val="clear" w:color="auto" w:fill="FFFFFF"/>
              </w:rPr>
              <w:t>　　GB/T 12540 汽车最小转弯直径测定方法</w:t>
            </w:r>
            <w:r>
              <w:rPr>
                <w:rFonts w:ascii="楷体" w:hAnsi="楷体" w:eastAsia="楷体"/>
                <w:sz w:val="21"/>
                <w:szCs w:val="21"/>
              </w:rPr>
              <w:br w:type="textWrapping"/>
            </w:r>
            <w:r>
              <w:rPr>
                <w:rFonts w:ascii="楷体" w:hAnsi="楷体" w:eastAsia="楷体"/>
                <w:sz w:val="21"/>
                <w:szCs w:val="21"/>
                <w:shd w:val="clear" w:color="auto" w:fill="FFFFFF"/>
              </w:rPr>
              <w:t>　　GB/T 12543 汽车加速性能试验方法</w:t>
            </w:r>
            <w:r>
              <w:rPr>
                <w:rFonts w:ascii="楷体" w:hAnsi="楷体" w:eastAsia="楷体"/>
                <w:sz w:val="21"/>
                <w:szCs w:val="21"/>
              </w:rPr>
              <w:br w:type="textWrapping"/>
            </w:r>
            <w:r>
              <w:rPr>
                <w:rFonts w:ascii="楷体" w:hAnsi="楷体" w:eastAsia="楷体"/>
                <w:sz w:val="21"/>
                <w:szCs w:val="21"/>
                <w:shd w:val="clear" w:color="auto" w:fill="FFFFFF"/>
              </w:rPr>
              <w:t>　　GB/T 12545 汽车燃料消耗量试验方法</w:t>
            </w:r>
            <w:r>
              <w:rPr>
                <w:rFonts w:ascii="楷体" w:hAnsi="楷体" w:eastAsia="楷体"/>
                <w:sz w:val="21"/>
                <w:szCs w:val="21"/>
              </w:rPr>
              <w:br w:type="textWrapping"/>
            </w:r>
            <w:r>
              <w:rPr>
                <w:rFonts w:ascii="楷体" w:hAnsi="楷体" w:eastAsia="楷体"/>
                <w:sz w:val="21"/>
                <w:szCs w:val="21"/>
                <w:shd w:val="clear" w:color="auto" w:fill="FFFFFF"/>
              </w:rPr>
              <w:t>　　GB/T 12676 汽车制动性能试验方法</w:t>
            </w:r>
            <w:r>
              <w:rPr>
                <w:rFonts w:ascii="楷体" w:hAnsi="楷体" w:eastAsia="楷体"/>
                <w:sz w:val="21"/>
                <w:szCs w:val="21"/>
              </w:rPr>
              <w:br w:type="textWrapping"/>
            </w:r>
            <w:r>
              <w:rPr>
                <w:rFonts w:ascii="楷体" w:hAnsi="楷体" w:eastAsia="楷体"/>
                <w:sz w:val="21"/>
                <w:szCs w:val="21"/>
                <w:shd w:val="clear" w:color="auto" w:fill="FFFFFF"/>
              </w:rPr>
              <w:t>　　GB 14761.5 汽油车怠速污染物排放标准</w:t>
            </w:r>
            <w:r>
              <w:rPr>
                <w:rFonts w:ascii="楷体" w:hAnsi="楷体" w:eastAsia="楷体"/>
                <w:sz w:val="21"/>
                <w:szCs w:val="21"/>
              </w:rPr>
              <w:br w:type="textWrapping"/>
            </w:r>
            <w:r>
              <w:rPr>
                <w:rFonts w:ascii="楷体" w:hAnsi="楷体" w:eastAsia="楷体"/>
                <w:sz w:val="21"/>
                <w:szCs w:val="21"/>
                <w:shd w:val="clear" w:color="auto" w:fill="FFFFFF"/>
              </w:rPr>
              <w:t>　　GB 14761.6 柴油车自由加速烟度排放标准</w:t>
            </w:r>
            <w:r>
              <w:rPr>
                <w:rFonts w:ascii="楷体" w:hAnsi="楷体" w:eastAsia="楷体"/>
                <w:sz w:val="21"/>
                <w:szCs w:val="21"/>
              </w:rPr>
              <w:br w:type="textWrapping"/>
            </w:r>
            <w:r>
              <w:rPr>
                <w:rFonts w:ascii="楷体" w:hAnsi="楷体" w:eastAsia="楷体"/>
                <w:sz w:val="21"/>
                <w:szCs w:val="21"/>
                <w:shd w:val="clear" w:color="auto" w:fill="FFFFFF"/>
              </w:rPr>
              <w:t>　　JB 4020 汽车驻车制动试验方法</w:t>
            </w:r>
            <w:r>
              <w:rPr>
                <w:rFonts w:ascii="楷体" w:hAnsi="楷体" w:eastAsia="楷体"/>
                <w:sz w:val="21"/>
                <w:szCs w:val="21"/>
              </w:rPr>
              <w:br w:type="textWrapping"/>
            </w:r>
            <w:r>
              <w:rPr>
                <w:rFonts w:ascii="楷体" w:hAnsi="楷体" w:eastAsia="楷体"/>
                <w:sz w:val="21"/>
                <w:szCs w:val="21"/>
                <w:shd w:val="clear" w:color="auto" w:fill="FFFFFF"/>
              </w:rPr>
              <w:t>　　JB/Z 111 汽车油漆涂层</w:t>
            </w:r>
          </w:p>
          <w:p>
            <w:pPr>
              <w:ind w:firstLine="413" w:firstLineChars="196"/>
              <w:rPr>
                <w:rFonts w:ascii="楷体" w:hAnsi="楷体" w:eastAsia="楷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楷体" w:hAnsi="楷体" w:eastAsia="楷体"/>
                <w:b/>
                <w:bCs/>
                <w:color w:val="333333"/>
                <w:sz w:val="21"/>
                <w:szCs w:val="21"/>
              </w:rPr>
              <w:t>GB／T 32007-2015 汽车零部件的统一编码与标识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r>
              <w:drawing>
                <wp:inline distT="0" distB="0" distL="114300" distR="114300">
                  <wp:extent cx="647700" cy="336550"/>
                  <wp:effectExtent l="0" t="0" r="0" b="635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r>
              <w:drawing>
                <wp:inline distT="0" distB="0" distL="114300" distR="114300">
                  <wp:extent cx="717550" cy="336550"/>
                  <wp:effectExtent l="0" t="0" r="6350" b="6350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2022.9.10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</w:rPr>
        <w:t>▇</w:t>
      </w:r>
      <w:r>
        <w:rPr>
          <w:b/>
          <w:sz w:val="22"/>
          <w:szCs w:val="22"/>
        </w:rPr>
        <w:t xml:space="preserve">EMS  </w:t>
      </w:r>
    </w:p>
    <w:tbl>
      <w:tblPr>
        <w:tblStyle w:val="7"/>
        <w:tblW w:w="1067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河北西环融合汽车服务有限公司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E</w:t>
            </w:r>
            <w:r>
              <w:rPr>
                <w:sz w:val="20"/>
              </w:rPr>
              <w:t>：29.02.00;29.03.01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孙岩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29.02.00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汽车钣金/喷漆工艺流程：</w:t>
            </w:r>
          </w:p>
          <w:p>
            <w:pPr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拆卸钣金部位的零部件-垫圈焊接拉平-锤平矫正</w:t>
            </w:r>
            <w:r>
              <w:rPr>
                <w:rFonts w:ascii="楷体" w:hAnsi="楷体" w:eastAsia="楷体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防锈处理</w:t>
            </w:r>
            <w:r>
              <w:rPr>
                <w:rFonts w:ascii="楷体" w:hAnsi="楷体" w:eastAsia="楷体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腻子整形</w:t>
            </w:r>
            <w:r>
              <w:rPr>
                <w:rFonts w:ascii="楷体" w:hAnsi="楷体" w:eastAsia="楷体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漆层处理-组装-质检-交车</w:t>
            </w:r>
          </w:p>
          <w:p>
            <w:pPr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关键工序：拉平、矫正、整形、漆层处理</w:t>
            </w:r>
          </w:p>
          <w:p>
            <w:pPr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特殊过程：漆层处理</w:t>
            </w:r>
          </w:p>
          <w:p>
            <w:pPr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汽车保养工艺流程：</w:t>
            </w:r>
          </w:p>
          <w:p>
            <w:pPr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了解车辆信息-与车主确定保养项目</w:t>
            </w:r>
            <w:r>
              <w:rPr>
                <w:rFonts w:ascii="楷体" w:hAnsi="楷体" w:eastAsia="楷体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实施保养</w:t>
            </w:r>
            <w:r>
              <w:rPr>
                <w:rFonts w:ascii="楷体" w:hAnsi="楷体" w:eastAsia="楷体"/>
                <w:sz w:val="21"/>
                <w:szCs w:val="21"/>
              </w:rPr>
              <w:t>—质检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-交车</w:t>
            </w:r>
          </w:p>
          <w:p>
            <w:pPr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关键过程：保养</w:t>
            </w:r>
          </w:p>
          <w:p>
            <w:pPr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汽车维修工艺流程：</w:t>
            </w:r>
          </w:p>
          <w:p>
            <w:pPr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了解车辆信息-电脑检测</w:t>
            </w:r>
            <w:r>
              <w:rPr>
                <w:rFonts w:ascii="楷体" w:hAnsi="楷体" w:eastAsia="楷体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与客户确定维修项目</w:t>
            </w:r>
            <w:r>
              <w:rPr>
                <w:rFonts w:ascii="楷体" w:hAnsi="楷体" w:eastAsia="楷体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拆卸相关部位-沟通确定维修方案-维修</w:t>
            </w:r>
            <w:r>
              <w:rPr>
                <w:rFonts w:ascii="楷体" w:hAnsi="楷体" w:eastAsia="楷体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质检</w:t>
            </w:r>
            <w:r>
              <w:rPr>
                <w:rFonts w:ascii="楷体" w:hAnsi="楷体" w:eastAsia="楷体"/>
                <w:sz w:val="21"/>
                <w:szCs w:val="21"/>
              </w:rPr>
              <w:t>—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交车</w:t>
            </w:r>
          </w:p>
          <w:p>
            <w:pPr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关键工序：确定维修项目、维修、质检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特殊工序：维修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固废排放、废气排放、噪声排放，制定管理方案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ascii="楷体" w:hAnsi="楷体" w:eastAsia="楷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产品质量法、合同法、标准化法、招标投标法及汽车维修的相关国家标准、行业标准、</w:t>
            </w:r>
            <w:r>
              <w:rPr>
                <w:rFonts w:ascii="楷体" w:hAnsi="楷体" w:eastAsia="楷体"/>
                <w:sz w:val="21"/>
                <w:szCs w:val="21"/>
                <w:shd w:val="clear" w:color="auto" w:fill="FFFFFF"/>
              </w:rPr>
              <w:t>GB 1495 机动车辆允许噪声</w:t>
            </w:r>
            <w:r>
              <w:rPr>
                <w:rFonts w:ascii="楷体" w:hAnsi="楷体" w:eastAsia="楷体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/>
                <w:sz w:val="21"/>
                <w:szCs w:val="21"/>
                <w:shd w:val="clear" w:color="auto" w:fill="FFFFFF"/>
              </w:rPr>
              <w:t xml:space="preserve">    </w:t>
            </w:r>
            <w:r>
              <w:rPr>
                <w:rFonts w:ascii="楷体" w:hAnsi="楷体" w:eastAsia="楷体"/>
                <w:sz w:val="21"/>
                <w:szCs w:val="21"/>
                <w:shd w:val="clear" w:color="auto" w:fill="FFFFFF"/>
              </w:rPr>
              <w:t>GB 1496 机动车辆噪声测量方法</w:t>
            </w:r>
            <w:r>
              <w:rPr>
                <w:rFonts w:ascii="楷体" w:hAnsi="楷体" w:eastAsia="楷体"/>
                <w:sz w:val="21"/>
                <w:szCs w:val="21"/>
              </w:rPr>
              <w:br w:type="textWrapping"/>
            </w:r>
            <w:r>
              <w:rPr>
                <w:rFonts w:ascii="楷体" w:hAnsi="楷体" w:eastAsia="楷体"/>
                <w:sz w:val="21"/>
                <w:szCs w:val="21"/>
                <w:shd w:val="clear" w:color="auto" w:fill="FFFFFF"/>
              </w:rPr>
              <w:t>　　GB 1743 漆膜光泽测定法</w:t>
            </w:r>
            <w:r>
              <w:rPr>
                <w:rFonts w:ascii="楷体" w:hAnsi="楷体" w:eastAsia="楷体"/>
                <w:sz w:val="21"/>
                <w:szCs w:val="21"/>
              </w:rPr>
              <w:br w:type="textWrapping"/>
            </w:r>
            <w:r>
              <w:rPr>
                <w:rFonts w:ascii="楷体" w:hAnsi="楷体" w:eastAsia="楷体"/>
                <w:sz w:val="21"/>
                <w:szCs w:val="21"/>
                <w:shd w:val="clear" w:color="auto" w:fill="FFFFFF"/>
              </w:rPr>
              <w:t>　　GB 3798 汽车大修竣工出厂技术条件</w:t>
            </w:r>
            <w:r>
              <w:rPr>
                <w:rFonts w:ascii="楷体" w:hAnsi="楷体" w:eastAsia="楷体"/>
                <w:sz w:val="21"/>
                <w:szCs w:val="21"/>
              </w:rPr>
              <w:br w:type="textWrapping"/>
            </w:r>
            <w:r>
              <w:rPr>
                <w:rFonts w:ascii="楷体" w:hAnsi="楷体" w:eastAsia="楷体"/>
                <w:sz w:val="21"/>
                <w:szCs w:val="21"/>
                <w:shd w:val="clear" w:color="auto" w:fill="FFFFFF"/>
              </w:rPr>
              <w:t>　　GB/T 3845 汽油车怠速污染物测量方法</w:t>
            </w:r>
            <w:r>
              <w:rPr>
                <w:rFonts w:ascii="楷体" w:hAnsi="楷体" w:eastAsia="楷体"/>
                <w:sz w:val="21"/>
                <w:szCs w:val="21"/>
              </w:rPr>
              <w:br w:type="textWrapping"/>
            </w:r>
            <w:r>
              <w:rPr>
                <w:rFonts w:ascii="楷体" w:hAnsi="楷体" w:eastAsia="楷体"/>
                <w:sz w:val="21"/>
                <w:szCs w:val="21"/>
                <w:shd w:val="clear" w:color="auto" w:fill="FFFFFF"/>
              </w:rPr>
              <w:t>　　GB/T 3846 柴油车自由加速烟度测量方法</w:t>
            </w:r>
            <w:r>
              <w:rPr>
                <w:rFonts w:ascii="楷体" w:hAnsi="楷体" w:eastAsia="楷体"/>
                <w:sz w:val="21"/>
                <w:szCs w:val="21"/>
              </w:rPr>
              <w:br w:type="textWrapping"/>
            </w:r>
            <w:r>
              <w:rPr>
                <w:rFonts w:ascii="楷体" w:hAnsi="楷体" w:eastAsia="楷体"/>
                <w:sz w:val="21"/>
                <w:szCs w:val="21"/>
                <w:shd w:val="clear" w:color="auto" w:fill="FFFFFF"/>
              </w:rPr>
              <w:t>　　GB 4785 汽车及挂车外部照明和信号装置的数量、位置和光色</w:t>
            </w:r>
            <w:r>
              <w:rPr>
                <w:rFonts w:ascii="楷体" w:hAnsi="楷体" w:eastAsia="楷体"/>
                <w:sz w:val="21"/>
                <w:szCs w:val="21"/>
              </w:rPr>
              <w:br w:type="textWrapping"/>
            </w:r>
            <w:r>
              <w:rPr>
                <w:rFonts w:ascii="楷体" w:hAnsi="楷体" w:eastAsia="楷体"/>
                <w:sz w:val="21"/>
                <w:szCs w:val="21"/>
                <w:shd w:val="clear" w:color="auto" w:fill="FFFFFF"/>
              </w:rPr>
              <w:t>　　GB 7258 机动车运行安全技术条件</w:t>
            </w:r>
            <w:r>
              <w:rPr>
                <w:rFonts w:ascii="楷体" w:hAnsi="楷体" w:eastAsia="楷体"/>
                <w:sz w:val="21"/>
                <w:szCs w:val="21"/>
              </w:rPr>
              <w:br w:type="textWrapping"/>
            </w:r>
            <w:r>
              <w:rPr>
                <w:rFonts w:ascii="楷体" w:hAnsi="楷体" w:eastAsia="楷体"/>
                <w:sz w:val="21"/>
                <w:szCs w:val="21"/>
                <w:shd w:val="clear" w:color="auto" w:fill="FFFFFF"/>
              </w:rPr>
              <w:t>　　GB/T 12478 客车防尘密封性试验方法</w:t>
            </w:r>
            <w:r>
              <w:rPr>
                <w:rFonts w:ascii="楷体" w:hAnsi="楷体" w:eastAsia="楷体"/>
                <w:sz w:val="21"/>
                <w:szCs w:val="21"/>
              </w:rPr>
              <w:br w:type="textWrapping"/>
            </w:r>
            <w:r>
              <w:rPr>
                <w:rFonts w:ascii="楷体" w:hAnsi="楷体" w:eastAsia="楷体"/>
                <w:sz w:val="21"/>
                <w:szCs w:val="21"/>
                <w:shd w:val="clear" w:color="auto" w:fill="FFFFFF"/>
              </w:rPr>
              <w:t>　　GB 12479 客车防尘密封性限值</w:t>
            </w:r>
            <w:r>
              <w:rPr>
                <w:rFonts w:ascii="楷体" w:hAnsi="楷体" w:eastAsia="楷体"/>
                <w:sz w:val="21"/>
                <w:szCs w:val="21"/>
              </w:rPr>
              <w:br w:type="textWrapping"/>
            </w:r>
            <w:r>
              <w:rPr>
                <w:rFonts w:ascii="楷体" w:hAnsi="楷体" w:eastAsia="楷体"/>
                <w:sz w:val="21"/>
                <w:szCs w:val="21"/>
                <w:shd w:val="clear" w:color="auto" w:fill="FFFFFF"/>
              </w:rPr>
              <w:t>　　GB/T 12480 客车防雨密封性试验方法</w:t>
            </w:r>
            <w:r>
              <w:rPr>
                <w:rFonts w:ascii="楷体" w:hAnsi="楷体" w:eastAsia="楷体"/>
                <w:sz w:val="21"/>
                <w:szCs w:val="21"/>
              </w:rPr>
              <w:br w:type="textWrapping"/>
            </w:r>
            <w:r>
              <w:rPr>
                <w:rFonts w:ascii="楷体" w:hAnsi="楷体" w:eastAsia="楷体"/>
                <w:sz w:val="21"/>
                <w:szCs w:val="21"/>
                <w:shd w:val="clear" w:color="auto" w:fill="FFFFFF"/>
              </w:rPr>
              <w:t>　　GB 12481 客车防雨密封性限值</w:t>
            </w:r>
            <w:r>
              <w:rPr>
                <w:rFonts w:ascii="楷体" w:hAnsi="楷体" w:eastAsia="楷体"/>
                <w:sz w:val="21"/>
                <w:szCs w:val="21"/>
              </w:rPr>
              <w:br w:type="textWrapping"/>
            </w:r>
            <w:r>
              <w:rPr>
                <w:rFonts w:ascii="楷体" w:hAnsi="楷体" w:eastAsia="楷体"/>
                <w:sz w:val="21"/>
                <w:szCs w:val="21"/>
                <w:shd w:val="clear" w:color="auto" w:fill="FFFFFF"/>
              </w:rPr>
              <w:t>　　GB/T 12536 汽车滑行试验方法</w:t>
            </w:r>
            <w:r>
              <w:rPr>
                <w:rFonts w:ascii="楷体" w:hAnsi="楷体" w:eastAsia="楷体"/>
                <w:sz w:val="21"/>
                <w:szCs w:val="21"/>
              </w:rPr>
              <w:br w:type="textWrapping"/>
            </w:r>
            <w:r>
              <w:rPr>
                <w:rFonts w:ascii="楷体" w:hAnsi="楷体" w:eastAsia="楷体"/>
                <w:sz w:val="21"/>
                <w:szCs w:val="21"/>
                <w:shd w:val="clear" w:color="auto" w:fill="FFFFFF"/>
              </w:rPr>
              <w:t>　　GB/T 12540 汽车最小转弯直径测定方法</w:t>
            </w:r>
            <w:r>
              <w:rPr>
                <w:rFonts w:ascii="楷体" w:hAnsi="楷体" w:eastAsia="楷体"/>
                <w:sz w:val="21"/>
                <w:szCs w:val="21"/>
              </w:rPr>
              <w:br w:type="textWrapping"/>
            </w:r>
            <w:r>
              <w:rPr>
                <w:rFonts w:ascii="楷体" w:hAnsi="楷体" w:eastAsia="楷体"/>
                <w:sz w:val="21"/>
                <w:szCs w:val="21"/>
                <w:shd w:val="clear" w:color="auto" w:fill="FFFFFF"/>
              </w:rPr>
              <w:t>　　GB/T 12543 汽车加速性能试验方法</w:t>
            </w:r>
            <w:r>
              <w:rPr>
                <w:rFonts w:ascii="楷体" w:hAnsi="楷体" w:eastAsia="楷体"/>
                <w:sz w:val="21"/>
                <w:szCs w:val="21"/>
              </w:rPr>
              <w:br w:type="textWrapping"/>
            </w:r>
            <w:r>
              <w:rPr>
                <w:rFonts w:ascii="楷体" w:hAnsi="楷体" w:eastAsia="楷体"/>
                <w:sz w:val="21"/>
                <w:szCs w:val="21"/>
                <w:shd w:val="clear" w:color="auto" w:fill="FFFFFF"/>
              </w:rPr>
              <w:t>　　GB/T 12545 汽车燃料消耗量试验方法</w:t>
            </w:r>
            <w:r>
              <w:rPr>
                <w:rFonts w:ascii="楷体" w:hAnsi="楷体" w:eastAsia="楷体"/>
                <w:sz w:val="21"/>
                <w:szCs w:val="21"/>
              </w:rPr>
              <w:br w:type="textWrapping"/>
            </w:r>
            <w:r>
              <w:rPr>
                <w:rFonts w:ascii="楷体" w:hAnsi="楷体" w:eastAsia="楷体"/>
                <w:sz w:val="21"/>
                <w:szCs w:val="21"/>
                <w:shd w:val="clear" w:color="auto" w:fill="FFFFFF"/>
              </w:rPr>
              <w:t>　　GB/T 12676 汽车制动性能试验方法</w:t>
            </w:r>
            <w:r>
              <w:rPr>
                <w:rFonts w:ascii="楷体" w:hAnsi="楷体" w:eastAsia="楷体"/>
                <w:sz w:val="21"/>
                <w:szCs w:val="21"/>
              </w:rPr>
              <w:br w:type="textWrapping"/>
            </w:r>
            <w:r>
              <w:rPr>
                <w:rFonts w:ascii="楷体" w:hAnsi="楷体" w:eastAsia="楷体"/>
                <w:sz w:val="21"/>
                <w:szCs w:val="21"/>
                <w:shd w:val="clear" w:color="auto" w:fill="FFFFFF"/>
              </w:rPr>
              <w:t>　　GB 14761.5 汽油车怠速污染物排放标准</w:t>
            </w:r>
            <w:r>
              <w:rPr>
                <w:rFonts w:ascii="楷体" w:hAnsi="楷体" w:eastAsia="楷体"/>
                <w:sz w:val="21"/>
                <w:szCs w:val="21"/>
              </w:rPr>
              <w:br w:type="textWrapping"/>
            </w:r>
            <w:r>
              <w:rPr>
                <w:rFonts w:ascii="楷体" w:hAnsi="楷体" w:eastAsia="楷体"/>
                <w:sz w:val="21"/>
                <w:szCs w:val="21"/>
                <w:shd w:val="clear" w:color="auto" w:fill="FFFFFF"/>
              </w:rPr>
              <w:t>　　GB 14761.6 柴油车自由加速烟度排放标准</w:t>
            </w:r>
            <w:r>
              <w:rPr>
                <w:rFonts w:ascii="楷体" w:hAnsi="楷体" w:eastAsia="楷体"/>
                <w:sz w:val="21"/>
                <w:szCs w:val="21"/>
              </w:rPr>
              <w:br w:type="textWrapping"/>
            </w:r>
            <w:r>
              <w:rPr>
                <w:rFonts w:ascii="楷体" w:hAnsi="楷体" w:eastAsia="楷体"/>
                <w:sz w:val="21"/>
                <w:szCs w:val="21"/>
                <w:shd w:val="clear" w:color="auto" w:fill="FFFFFF"/>
              </w:rPr>
              <w:t>　　JB 4020 汽车驻车制动试验方法</w:t>
            </w:r>
            <w:r>
              <w:rPr>
                <w:rFonts w:ascii="楷体" w:hAnsi="楷体" w:eastAsia="楷体"/>
                <w:sz w:val="21"/>
                <w:szCs w:val="21"/>
              </w:rPr>
              <w:br w:type="textWrapping"/>
            </w:r>
            <w:r>
              <w:rPr>
                <w:rFonts w:ascii="楷体" w:hAnsi="楷体" w:eastAsia="楷体"/>
                <w:sz w:val="21"/>
                <w:szCs w:val="21"/>
                <w:shd w:val="clear" w:color="auto" w:fill="FFFFFF"/>
              </w:rPr>
              <w:t>　　JB/Z 111 汽车油漆涂层</w:t>
            </w:r>
          </w:p>
          <w:p>
            <w:pPr>
              <w:ind w:firstLine="413" w:firstLineChars="196"/>
              <w:rPr>
                <w:rFonts w:ascii="楷体" w:hAnsi="楷体" w:eastAsia="楷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楷体" w:hAnsi="楷体" w:eastAsia="楷体"/>
                <w:b/>
                <w:bCs/>
                <w:color w:val="333333"/>
                <w:sz w:val="21"/>
                <w:szCs w:val="21"/>
              </w:rPr>
              <w:t>GB／T 32007-2015 汽车零部件的统一编码与标识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需要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rPr>
                <w:b/>
                <w:sz w:val="20"/>
              </w:rPr>
            </w:pPr>
            <w:r>
              <w:drawing>
                <wp:inline distT="0" distB="0" distL="114300" distR="114300">
                  <wp:extent cx="647700" cy="336550"/>
                  <wp:effectExtent l="0" t="0" r="0" b="6350"/>
                  <wp:docPr id="1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rPr>
                <w:b/>
                <w:sz w:val="20"/>
              </w:rPr>
            </w:pPr>
            <w:r>
              <w:drawing>
                <wp:inline distT="0" distB="0" distL="114300" distR="114300">
                  <wp:extent cx="717550" cy="336550"/>
                  <wp:effectExtent l="0" t="0" r="6350" b="6350"/>
                  <wp:docPr id="1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2022.9.10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 xml:space="preserve"> </w:t>
      </w:r>
      <w:bookmarkStart w:id="2" w:name="_GoBack"/>
      <w:bookmarkEnd w:id="2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8240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578F542A"/>
    <w:rsid w:val="5F415E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ScaleCrop>false</ScaleCrop>
  <LinksUpToDate>false</LinksUpToDate>
  <CharactersWithSpaces>322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zwt</cp:lastModifiedBy>
  <dcterms:modified xsi:type="dcterms:W3CDTF">2022-09-15T06:27:44Z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2052-10.1.0.6875</vt:lpwstr>
  </property>
</Properties>
</file>