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0491-2020-QEO-2022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宜春钽铌矿有限公司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宜春钽铌矿有限公司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江西省宜春市袁州区新坊镇花桥村</w:t>
            </w:r>
            <w:bookmarkEnd w:id="6"/>
          </w:p>
        </w:tc>
        <w:tc>
          <w:tcPr>
            <w:tcW w:w="1242" w:type="dxa"/>
            <w:vMerge w:val="restart"/>
            <w:vAlign w:val="center"/>
          </w:tcPr>
          <w:p>
            <w:r>
              <w:rPr>
                <w:rFonts w:hint="eastAsia"/>
              </w:rPr>
              <w:t>邮编</w:t>
            </w:r>
          </w:p>
        </w:tc>
        <w:tc>
          <w:tcPr>
            <w:tcW w:w="1771" w:type="dxa"/>
          </w:tcPr>
          <w:p>
            <w:bookmarkStart w:id="7" w:name="注册邮编"/>
            <w:r>
              <w:t>336000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江西省宜春市袁州区新坊镇花桥村</w:t>
            </w:r>
            <w:bookmarkEnd w:id="8"/>
          </w:p>
        </w:tc>
        <w:tc>
          <w:tcPr>
            <w:tcW w:w="1242" w:type="dxa"/>
            <w:vMerge w:val="continue"/>
            <w:vAlign w:val="center"/>
          </w:tcPr>
          <w:p/>
        </w:tc>
        <w:tc>
          <w:tcPr>
            <w:tcW w:w="1771" w:type="dxa"/>
          </w:tcPr>
          <w:p>
            <w:bookmarkStart w:id="9" w:name="办公邮编"/>
            <w:r>
              <w:t>336000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郭文萍</w:t>
            </w:r>
            <w:bookmarkEnd w:id="10"/>
          </w:p>
        </w:tc>
        <w:tc>
          <w:tcPr>
            <w:tcW w:w="1313" w:type="dxa"/>
            <w:vAlign w:val="center"/>
          </w:tcPr>
          <w:p>
            <w:r>
              <w:rPr>
                <w:rFonts w:hint="eastAsia"/>
              </w:rPr>
              <w:t>电话.</w:t>
            </w:r>
          </w:p>
        </w:tc>
        <w:tc>
          <w:tcPr>
            <w:tcW w:w="2180" w:type="dxa"/>
            <w:vAlign w:val="center"/>
          </w:tcPr>
          <w:p>
            <w:bookmarkStart w:id="11" w:name="联系人电话"/>
            <w:r>
              <w:t>13979578200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袁明才</w:t>
            </w:r>
            <w:bookmarkEnd w:id="13"/>
          </w:p>
        </w:tc>
        <w:tc>
          <w:tcPr>
            <w:tcW w:w="1313" w:type="dxa"/>
            <w:vAlign w:val="center"/>
          </w:tcPr>
          <w:p>
            <w:r>
              <w:rPr>
                <w:rFonts w:hint="eastAsia"/>
              </w:rPr>
              <w:t>管理者代表</w:t>
            </w:r>
          </w:p>
        </w:tc>
        <w:tc>
          <w:tcPr>
            <w:tcW w:w="2180" w:type="dxa"/>
          </w:tcPr>
          <w:p>
            <w:bookmarkStart w:id="14" w:name="管理者代表"/>
            <w:r>
              <w:t>陈清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none"/>
                <w:lang w:val="en-US" w:eastAsia="zh-CN"/>
              </w:rPr>
              <w:t>跟踪审核了2022.9.6日的中班。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b/>
                <w:sz w:val="20"/>
                <w:lang w:val="en-US" w:eastAsia="zh-CN"/>
              </w:rPr>
            </w:pPr>
            <w:r>
              <w:rPr>
                <w:rFonts w:hint="eastAsia"/>
                <w:b/>
                <w:sz w:val="20"/>
                <w:lang w:val="en-US" w:eastAsia="zh-CN"/>
              </w:rPr>
              <w:t>生产：钻孔-----填炸药------爆破------铲装------运输------破碎-------球磨分级-----浮选------脱水-----入库</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lang w:val="en-US"/>
              </w:rPr>
            </w:pPr>
            <w:r>
              <w:rPr>
                <w:rFonts w:hint="eastAsia"/>
                <w:b/>
                <w:sz w:val="20"/>
                <w:lang w:val="en-US" w:eastAsia="zh-CN"/>
              </w:rPr>
              <w:t>销售：</w:t>
            </w:r>
            <w:r>
              <w:rPr>
                <w:rFonts w:hint="eastAsia"/>
                <w:b/>
                <w:bCs/>
                <w:color w:val="auto"/>
                <w:sz w:val="20"/>
                <w:szCs w:val="20"/>
                <w:lang w:val="en-US" w:eastAsia="zh-CN"/>
              </w:rPr>
              <w:t>合同评审——合同签订——发货——运输——收货确认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2022年09月06日 上午至2022年09月09日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江西省宜春市袁州区新坊镇花桥村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Q：钽铌矿、锂云母、(锂、铝)长石、高岭土（瓷土）的采选加工与销售.</w:t>
            </w:r>
          </w:p>
          <w:p>
            <w:r>
              <w:t>E：钽铌矿、锂云母、(锂、铝)长石、高岭土（瓷土）的采选加工与销售所涉及的环境管理活动.</w:t>
            </w:r>
          </w:p>
          <w:p>
            <w:r>
              <w:t>O：钽铌矿、锂云母、(锂、铝)长石、高岭土（瓷土）的采选加工与销售所涉及的职业健康安全管理活动.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Q：02.06.02;02.07.01;02.07.02</w:t>
            </w:r>
          </w:p>
          <w:p>
            <w:r>
              <w:t>E：02.06.02;02.07.01;02.07.02</w:t>
            </w:r>
          </w:p>
          <w:p>
            <w:r>
              <w:t>O：02.06.02;02.07.01;02.07.02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 xml:space="preserve"> 年 </w:t>
            </w:r>
            <w:r>
              <w:rPr>
                <w:rFonts w:hint="eastAsia"/>
                <w:lang w:val="en-US" w:eastAsia="zh-CN"/>
              </w:rPr>
              <w:t>5</w:t>
            </w:r>
            <w:r>
              <w:rPr>
                <w:rFonts w:hint="eastAsia"/>
              </w:rPr>
              <w:t xml:space="preserve"> 月 </w:t>
            </w:r>
            <w:r>
              <w:rPr>
                <w:rFonts w:hint="eastAsia"/>
                <w:lang w:val="en-US" w:eastAsia="zh-CN"/>
              </w:rPr>
              <w:t>15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6-9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9</w:t>
            </w:r>
            <w:r>
              <w:rPr>
                <w:rFonts w:hint="eastAsia"/>
              </w:rPr>
              <w:t xml:space="preserve"> 月 </w:t>
            </w:r>
            <w:r>
              <w:rPr>
                <w:rFonts w:hint="eastAsia"/>
                <w:lang w:val="en-US" w:eastAsia="zh-CN"/>
              </w:rPr>
              <w:t>26</w:t>
            </w:r>
            <w:r>
              <w:rPr>
                <w:rFonts w:hint="eastAsia"/>
              </w:rPr>
              <w:t xml:space="preserve">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宜春钽铌矿有限公司</w:t>
            </w:r>
            <w:r>
              <w:rPr>
                <w:rFonts w:hint="eastAsia"/>
                <w:sz w:val="21"/>
                <w:szCs w:val="21"/>
                <w:lang w:val="en-US" w:eastAsia="zh-CN"/>
              </w:rPr>
              <w:t>/</w:t>
            </w:r>
            <w:r>
              <w:rPr>
                <w:rFonts w:asciiTheme="minorEastAsia" w:hAnsiTheme="minorEastAsia" w:eastAsiaTheme="minorEastAsia"/>
                <w:sz w:val="20"/>
              </w:rPr>
              <w:t>江西省宜春市袁州区新坊镇花桥村</w:t>
            </w:r>
          </w:p>
        </w:tc>
        <w:tc>
          <w:tcPr>
            <w:tcW w:w="2267" w:type="dxa"/>
            <w:vAlign w:val="top"/>
          </w:tcPr>
          <w:p>
            <w:pPr>
              <w:rPr>
                <w:lang w:val="de-DE" w:eastAsia="ja-JP"/>
              </w:rPr>
            </w:pPr>
            <w:r>
              <w:rPr>
                <w:rFonts w:asciiTheme="minorEastAsia" w:hAnsiTheme="minorEastAsia" w:eastAsiaTheme="minorEastAsia"/>
                <w:sz w:val="20"/>
              </w:rPr>
              <w:t>江西省宜春市袁州区新坊镇花桥村</w:t>
            </w:r>
          </w:p>
        </w:tc>
        <w:tc>
          <w:tcPr>
            <w:tcW w:w="571" w:type="dxa"/>
            <w:vAlign w:val="center"/>
          </w:tcPr>
          <w:p>
            <w:pPr>
              <w:rPr>
                <w:lang w:eastAsia="ja-JP"/>
              </w:rPr>
            </w:pPr>
            <w:r>
              <w:rPr>
                <w:rFonts w:hint="eastAsia"/>
                <w:lang w:val="en-US" w:eastAsia="zh-CN"/>
              </w:rPr>
              <w:t>1153</w:t>
            </w:r>
          </w:p>
        </w:tc>
        <w:tc>
          <w:tcPr>
            <w:tcW w:w="2803" w:type="dxa"/>
            <w:vAlign w:val="center"/>
          </w:tcPr>
          <w:p>
            <w:pPr>
              <w:rPr>
                <w:sz w:val="20"/>
              </w:rPr>
            </w:pPr>
            <w:r>
              <w:rPr>
                <w:sz w:val="20"/>
              </w:rPr>
              <w:t>Q：钽铌矿、锂云母、(锂、铝)长石、高岭土（瓷土）的采选加工与销售</w:t>
            </w:r>
          </w:p>
          <w:p>
            <w:pPr>
              <w:rPr>
                <w:sz w:val="20"/>
              </w:rPr>
            </w:pPr>
            <w:r>
              <w:rPr>
                <w:sz w:val="20"/>
              </w:rPr>
              <w:t>E：钽铌矿、锂云母、(锂、铝)长石、高岭土（瓷土）的采选加工与销售及相关环境管理活动</w:t>
            </w:r>
          </w:p>
          <w:p>
            <w:pPr>
              <w:rPr>
                <w:lang w:eastAsia="ja-JP"/>
              </w:rPr>
            </w:pPr>
            <w:r>
              <w:rPr>
                <w:sz w:val="20"/>
              </w:rPr>
              <w:t>O：钽铌矿、锂云母、(锂、铝)长石、高岭土（瓷土）的采选加工与销售及相关职业健康安全管理活动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vAlign w:val="top"/>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Q:02.06.02,02.07.01,02.07.02</w:t>
            </w:r>
          </w:p>
          <w:p>
            <w:r>
              <w:t>E:02.06.02,02.07.01,02.07.02</w:t>
            </w:r>
          </w:p>
          <w:p>
            <w:r>
              <w:t>O:02.06.02,02.07.01,02.07.02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组员</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林郁</w:t>
            </w:r>
          </w:p>
        </w:tc>
        <w:tc>
          <w:tcPr>
            <w:tcW w:w="1089" w:type="dxa"/>
            <w:vAlign w:val="center"/>
          </w:tcPr>
          <w:p>
            <w:r>
              <w:t>组员</w:t>
            </w:r>
          </w:p>
        </w:tc>
        <w:tc>
          <w:tcPr>
            <w:tcW w:w="711" w:type="dxa"/>
            <w:vAlign w:val="center"/>
          </w:tcPr>
          <w:p>
            <w:r>
              <w:t>女</w:t>
            </w:r>
          </w:p>
        </w:tc>
        <w:tc>
          <w:tcPr>
            <w:tcW w:w="3870" w:type="dxa"/>
            <w:vAlign w:val="center"/>
          </w:tcPr>
          <w:p>
            <w:r>
              <w:t>2020-N0QMS-1263773</w:t>
            </w:r>
          </w:p>
          <w:p>
            <w:r>
              <w:t>2021-N0EMS-1263773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由涂春根变更为曾令挥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4</w:t>
            </w:r>
          </w:p>
        </w:tc>
        <w:tc>
          <w:tcPr>
            <w:tcW w:w="1717" w:type="dxa"/>
          </w:tcP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钽铌矿、锂云母、(锂、铝)长石、高岭土（瓷土）的采选加工与销售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钽铌矿、锂云母、(锂、铝)长石、高岭土（瓷土）的采选加工与销售及相关环境管理活动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钽铌矿、锂云母、(锂、铝)长石、高岭土（瓷土）的采选加工与销售及相关职业健康安全管理活动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298450</wp:posOffset>
                  </wp:positionH>
                  <wp:positionV relativeFrom="paragraph">
                    <wp:posOffset>33020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2022.09.09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pStyle w:val="25"/>
            </w:pPr>
            <w:r>
              <w:rPr>
                <w:rFonts w:hint="eastAsia"/>
              </w:rPr>
              <w:t>精益求精，科学规范，持续改进。</w:t>
            </w:r>
          </w:p>
          <w:p>
            <w:pPr>
              <w:pStyle w:val="25"/>
              <w:rPr>
                <w:rFonts w:hint="eastAsia" w:ascii="宋体" w:hAnsi="宋体"/>
                <w:spacing w:val="20"/>
                <w:sz w:val="18"/>
                <w:szCs w:val="18"/>
              </w:rPr>
            </w:pPr>
            <w:r>
              <w:rPr>
                <w:rFonts w:hint="eastAsia"/>
              </w:rPr>
              <w:t>以人为本，安全高效，绿色发展。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pPr w:leftFromText="180" w:rightFromText="180" w:vertAnchor="text" w:horzAnchor="page" w:tblpX="331" w:tblpY="4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2015"/>
              <w:gridCol w:w="1319"/>
              <w:gridCol w:w="1114"/>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vMerge w:val="restart"/>
                </w:tcPr>
                <w:p>
                  <w:pPr>
                    <w:jc w:val="center"/>
                    <w:rPr>
                      <w:rFonts w:ascii="Calibri" w:hAnsi="Calibri"/>
                      <w:szCs w:val="22"/>
                    </w:rPr>
                  </w:pPr>
                  <w:r>
                    <w:rPr>
                      <w:rFonts w:hint="eastAsia" w:ascii="Calibri" w:hAnsi="Calibri"/>
                      <w:szCs w:val="22"/>
                    </w:rPr>
                    <w:t>产品名称</w:t>
                  </w:r>
                </w:p>
              </w:tc>
              <w:tc>
                <w:tcPr>
                  <w:tcW w:w="5669" w:type="dxa"/>
                  <w:gridSpan w:val="4"/>
                </w:tcPr>
                <w:p>
                  <w:pPr>
                    <w:jc w:val="center"/>
                    <w:rPr>
                      <w:rFonts w:ascii="Calibri" w:hAnsi="Calibri"/>
                      <w:szCs w:val="22"/>
                    </w:rPr>
                  </w:pPr>
                  <w:r>
                    <w:rPr>
                      <w:rFonts w:hint="eastAsia" w:ascii="Calibri" w:hAnsi="Calibri"/>
                      <w:szCs w:val="22"/>
                    </w:rPr>
                    <w:t>产品质量指标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vMerge w:val="continue"/>
                </w:tcPr>
                <w:p>
                  <w:pPr>
                    <w:rPr>
                      <w:rFonts w:ascii="Calibri" w:hAnsi="Calibri"/>
                      <w:szCs w:val="22"/>
                    </w:rPr>
                  </w:pPr>
                </w:p>
              </w:tc>
              <w:tc>
                <w:tcPr>
                  <w:tcW w:w="2015" w:type="dxa"/>
                </w:tcPr>
                <w:p>
                  <w:pPr>
                    <w:jc w:val="center"/>
                    <w:rPr>
                      <w:rFonts w:ascii="Calibri" w:hAnsi="Calibri"/>
                      <w:szCs w:val="22"/>
                    </w:rPr>
                  </w:pPr>
                  <w:r>
                    <w:rPr>
                      <w:rFonts w:hint="eastAsia" w:ascii="Calibri" w:hAnsi="Calibri"/>
                      <w:szCs w:val="22"/>
                    </w:rPr>
                    <w:t>Fe2O3（%）</w:t>
                  </w:r>
                </w:p>
              </w:tc>
              <w:tc>
                <w:tcPr>
                  <w:tcW w:w="1319" w:type="dxa"/>
                </w:tcPr>
                <w:p>
                  <w:pPr>
                    <w:jc w:val="center"/>
                    <w:rPr>
                      <w:rFonts w:ascii="Calibri" w:hAnsi="Calibri"/>
                      <w:szCs w:val="22"/>
                    </w:rPr>
                  </w:pPr>
                  <w:r>
                    <w:rPr>
                      <w:rFonts w:hint="eastAsia" w:ascii="Calibri" w:hAnsi="Calibri"/>
                      <w:szCs w:val="22"/>
                    </w:rPr>
                    <w:t>水分（%）</w:t>
                  </w:r>
                </w:p>
              </w:tc>
              <w:tc>
                <w:tcPr>
                  <w:tcW w:w="1114" w:type="dxa"/>
                </w:tcPr>
                <w:p>
                  <w:pPr>
                    <w:jc w:val="center"/>
                    <w:rPr>
                      <w:rFonts w:ascii="Calibri" w:hAnsi="Calibri"/>
                      <w:szCs w:val="22"/>
                    </w:rPr>
                  </w:pPr>
                  <w:r>
                    <w:rPr>
                      <w:rFonts w:hint="eastAsia" w:ascii="Calibri" w:hAnsi="Calibri"/>
                      <w:szCs w:val="22"/>
                    </w:rPr>
                    <w:t>Li2O(%)</w:t>
                  </w:r>
                </w:p>
              </w:tc>
              <w:tc>
                <w:tcPr>
                  <w:tcW w:w="1221" w:type="dxa"/>
                </w:tcPr>
                <w:p>
                  <w:pPr>
                    <w:jc w:val="center"/>
                    <w:rPr>
                      <w:rFonts w:ascii="Calibri" w:hAnsi="Calibri"/>
                      <w:szCs w:val="22"/>
                    </w:rPr>
                  </w:pPr>
                  <w:r>
                    <w:rPr>
                      <w:rFonts w:hint="eastAsia" w:ascii="Calibri" w:hAnsi="Calibri"/>
                      <w:szCs w:val="22"/>
                    </w:rPr>
                    <w:t>Ta2O5(%)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锂云母（散料）</w:t>
                  </w:r>
                </w:p>
              </w:tc>
              <w:tc>
                <w:tcPr>
                  <w:tcW w:w="2015" w:type="dxa"/>
                </w:tcPr>
                <w:p>
                  <w:pPr>
                    <w:rPr>
                      <w:rFonts w:ascii="Calibri" w:hAnsi="Calibri"/>
                      <w:szCs w:val="22"/>
                    </w:rPr>
                  </w:pPr>
                </w:p>
              </w:tc>
              <w:tc>
                <w:tcPr>
                  <w:tcW w:w="1319" w:type="dxa"/>
                </w:tcPr>
                <w:p>
                  <w:pPr>
                    <w:rPr>
                      <w:rFonts w:ascii="Calibri" w:hAnsi="Calibri"/>
                      <w:szCs w:val="22"/>
                    </w:rPr>
                  </w:pPr>
                  <w:r>
                    <w:rPr>
                      <w:rFonts w:hint="eastAsia" w:ascii="Calibri" w:hAnsi="Calibri"/>
                      <w:szCs w:val="22"/>
                    </w:rPr>
                    <w:t>≤22.0</w:t>
                  </w:r>
                </w:p>
              </w:tc>
              <w:tc>
                <w:tcPr>
                  <w:tcW w:w="1114" w:type="dxa"/>
                </w:tcPr>
                <w:p>
                  <w:pPr>
                    <w:rPr>
                      <w:rFonts w:ascii="Calibri" w:hAnsi="Calibri"/>
                      <w:szCs w:val="22"/>
                    </w:rPr>
                  </w:pPr>
                  <w:r>
                    <w:rPr>
                      <w:rFonts w:hint="eastAsia" w:ascii="Calibri" w:hAnsi="Calibri"/>
                      <w:szCs w:val="22"/>
                    </w:rPr>
                    <w:t>≥3.0</w:t>
                  </w: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粗长石（散料）</w:t>
                  </w:r>
                </w:p>
              </w:tc>
              <w:tc>
                <w:tcPr>
                  <w:tcW w:w="2015" w:type="dxa"/>
                </w:tcPr>
                <w:p>
                  <w:pPr>
                    <w:rPr>
                      <w:rFonts w:ascii="Calibri" w:hAnsi="Calibri"/>
                      <w:szCs w:val="22"/>
                    </w:rPr>
                  </w:pPr>
                  <w:r>
                    <w:rPr>
                      <w:rFonts w:hint="eastAsia" w:ascii="Calibri" w:hAnsi="Calibri"/>
                      <w:szCs w:val="22"/>
                    </w:rPr>
                    <w:t>不超过原矿石</w:t>
                  </w:r>
                </w:p>
              </w:tc>
              <w:tc>
                <w:tcPr>
                  <w:tcW w:w="1319" w:type="dxa"/>
                </w:tcPr>
                <w:p>
                  <w:pPr>
                    <w:rPr>
                      <w:rFonts w:ascii="Calibri" w:hAnsi="Calibri"/>
                      <w:szCs w:val="22"/>
                    </w:rPr>
                  </w:pPr>
                  <w:r>
                    <w:rPr>
                      <w:rFonts w:hint="eastAsia" w:ascii="Calibri" w:hAnsi="Calibri"/>
                      <w:szCs w:val="22"/>
                    </w:rPr>
                    <w:t>≤19.0</w:t>
                  </w:r>
                </w:p>
              </w:tc>
              <w:tc>
                <w:tcPr>
                  <w:tcW w:w="1114" w:type="dxa"/>
                </w:tcPr>
                <w:p>
                  <w:pPr>
                    <w:rPr>
                      <w:rFonts w:ascii="Calibri" w:hAnsi="Calibri"/>
                      <w:szCs w:val="22"/>
                    </w:rPr>
                  </w:pP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细长石（散料）</w:t>
                  </w:r>
                </w:p>
              </w:tc>
              <w:tc>
                <w:tcPr>
                  <w:tcW w:w="2015" w:type="dxa"/>
                </w:tcPr>
                <w:p>
                  <w:pPr>
                    <w:rPr>
                      <w:rFonts w:ascii="Calibri" w:hAnsi="Calibri"/>
                      <w:szCs w:val="22"/>
                    </w:rPr>
                  </w:pPr>
                </w:p>
              </w:tc>
              <w:tc>
                <w:tcPr>
                  <w:tcW w:w="1319" w:type="dxa"/>
                </w:tcPr>
                <w:p>
                  <w:pPr>
                    <w:rPr>
                      <w:rFonts w:ascii="Calibri" w:hAnsi="Calibri"/>
                      <w:szCs w:val="22"/>
                    </w:rPr>
                  </w:pPr>
                  <w:r>
                    <w:rPr>
                      <w:rFonts w:hint="eastAsia" w:ascii="Calibri" w:hAnsi="Calibri"/>
                      <w:szCs w:val="22"/>
                    </w:rPr>
                    <w:t>≤22.5</w:t>
                  </w:r>
                </w:p>
              </w:tc>
              <w:tc>
                <w:tcPr>
                  <w:tcW w:w="1114" w:type="dxa"/>
                </w:tcPr>
                <w:p>
                  <w:pPr>
                    <w:rPr>
                      <w:rFonts w:ascii="Calibri" w:hAnsi="Calibri"/>
                      <w:szCs w:val="22"/>
                    </w:rPr>
                  </w:pP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0" w:type="dxa"/>
                </w:tcPr>
                <w:p>
                  <w:pPr>
                    <w:rPr>
                      <w:rFonts w:ascii="Calibri" w:hAnsi="Calibri"/>
                      <w:szCs w:val="22"/>
                    </w:rPr>
                  </w:pPr>
                  <w:r>
                    <w:rPr>
                      <w:rFonts w:hint="eastAsia" w:ascii="Calibri" w:hAnsi="Calibri"/>
                      <w:szCs w:val="22"/>
                    </w:rPr>
                    <w:t>高锂长石（散料）</w:t>
                  </w:r>
                </w:p>
              </w:tc>
              <w:tc>
                <w:tcPr>
                  <w:tcW w:w="2015" w:type="dxa"/>
                </w:tcPr>
                <w:p>
                  <w:pPr>
                    <w:rPr>
                      <w:rFonts w:ascii="Calibri" w:hAnsi="Calibri"/>
                      <w:szCs w:val="22"/>
                    </w:rPr>
                  </w:pPr>
                </w:p>
              </w:tc>
              <w:tc>
                <w:tcPr>
                  <w:tcW w:w="1319" w:type="dxa"/>
                </w:tcPr>
                <w:p>
                  <w:pPr>
                    <w:rPr>
                      <w:rFonts w:ascii="Calibri" w:hAnsi="Calibri"/>
                      <w:szCs w:val="22"/>
                    </w:rPr>
                  </w:pPr>
                </w:p>
              </w:tc>
              <w:tc>
                <w:tcPr>
                  <w:tcW w:w="1114" w:type="dxa"/>
                </w:tcPr>
                <w:p>
                  <w:pPr>
                    <w:rPr>
                      <w:rFonts w:ascii="Calibri" w:hAnsi="Calibri"/>
                      <w:szCs w:val="22"/>
                    </w:rPr>
                  </w:pPr>
                  <w:r>
                    <w:rPr>
                      <w:rFonts w:hint="eastAsia" w:ascii="Calibri" w:hAnsi="Calibri"/>
                      <w:szCs w:val="22"/>
                    </w:rPr>
                    <w:t>≥0.6</w:t>
                  </w:r>
                </w:p>
              </w:tc>
              <w:tc>
                <w:tcPr>
                  <w:tcW w:w="1221" w:type="dxa"/>
                </w:tcPr>
                <w:p>
                  <w:pP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70" w:type="dxa"/>
                </w:tcPr>
                <w:p>
                  <w:pPr>
                    <w:rPr>
                      <w:rFonts w:ascii="Calibri" w:hAnsi="Calibri"/>
                      <w:szCs w:val="22"/>
                    </w:rPr>
                  </w:pPr>
                  <w:r>
                    <w:rPr>
                      <w:rFonts w:hint="eastAsia" w:ascii="Calibri" w:hAnsi="Calibri"/>
                      <w:szCs w:val="22"/>
                    </w:rPr>
                    <w:t>钽铌精矿（散料）</w:t>
                  </w:r>
                </w:p>
              </w:tc>
              <w:tc>
                <w:tcPr>
                  <w:tcW w:w="2015" w:type="dxa"/>
                </w:tcPr>
                <w:p>
                  <w:pPr>
                    <w:rPr>
                      <w:rFonts w:ascii="Calibri" w:hAnsi="Calibri"/>
                      <w:szCs w:val="22"/>
                    </w:rPr>
                  </w:pPr>
                </w:p>
              </w:tc>
              <w:tc>
                <w:tcPr>
                  <w:tcW w:w="1319" w:type="dxa"/>
                </w:tcPr>
                <w:p>
                  <w:pPr>
                    <w:rPr>
                      <w:rFonts w:ascii="Calibri" w:hAnsi="Calibri"/>
                      <w:szCs w:val="22"/>
                    </w:rPr>
                  </w:pPr>
                </w:p>
              </w:tc>
              <w:tc>
                <w:tcPr>
                  <w:tcW w:w="1114" w:type="dxa"/>
                </w:tcPr>
                <w:p>
                  <w:pPr>
                    <w:rPr>
                      <w:rFonts w:ascii="Calibri" w:hAnsi="Calibri"/>
                      <w:szCs w:val="22"/>
                    </w:rPr>
                  </w:pPr>
                </w:p>
              </w:tc>
              <w:tc>
                <w:tcPr>
                  <w:tcW w:w="1221" w:type="dxa"/>
                </w:tcPr>
                <w:p>
                  <w:pPr>
                    <w:rPr>
                      <w:rFonts w:ascii="Calibri" w:hAnsi="Calibri"/>
                      <w:szCs w:val="22"/>
                    </w:rPr>
                  </w:pPr>
                  <w:r>
                    <w:rPr>
                      <w:rFonts w:hint="eastAsia" w:ascii="Calibri" w:hAnsi="Calibri"/>
                      <w:szCs w:val="22"/>
                    </w:rPr>
                    <w:t>≥18.0</w:t>
                  </w:r>
                </w:p>
              </w:tc>
            </w:tr>
          </w:tbl>
          <w:p>
            <w:pPr>
              <w:shd w:val="clear" w:color="auto" w:fill="C7DAF1" w:themeFill="text2" w:themeFillTint="32"/>
              <w:rPr>
                <w:rFonts w:hint="eastAsia" w:ascii="Wingdings" w:hAnsi="Wingdings"/>
              </w:rPr>
            </w:pPr>
          </w:p>
          <w:p>
            <w:pPr>
              <w:shd w:val="clear" w:color="auto" w:fill="C7DAF1" w:themeFill="text2" w:themeFillTint="32"/>
            </w:pPr>
            <w:r>
              <w:rPr>
                <w:rFonts w:hint="eastAsia"/>
              </w:rPr>
              <w:sym w:font="Wingdings 2" w:char="00A3"/>
            </w:r>
            <w:r>
              <w:rPr>
                <w:rFonts w:hint="eastAsia"/>
              </w:rPr>
              <w:t>目标已实现</w:t>
            </w:r>
          </w:p>
          <w:p>
            <w:pPr>
              <w:shd w:val="clear" w:color="auto" w:fill="C7DAF1" w:themeFill="text2" w:themeFillTint="32"/>
            </w:pPr>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宋体" w:hAnsi="宋体" w:eastAsia="宋体" w:cs="宋体"/>
                <w:sz w:val="21"/>
                <w:szCs w:val="21"/>
                <w:u w:val="single"/>
                <w:lang w:val="en-US" w:eastAsia="zh-CN"/>
              </w:rPr>
              <w:t>X荧光光谱仪、玻璃器皿、原子吸收</w:t>
            </w:r>
            <w:r>
              <w:rPr>
                <w:rFonts w:hint="eastAsia"/>
                <w:u w:val="single"/>
                <w:lang w:val="en-US" w:eastAsia="zh-CN"/>
              </w:rPr>
              <w:t>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ascii="宋体" w:hAnsi="宋体"/>
                      <w:szCs w:val="21"/>
                    </w:rPr>
                    <w:t>钽铌矿、锂云母、(锂、铝)长石、高岭土（瓷土）的采选加工与销售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无</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default"/>
                <w:lang w:val="en-US"/>
              </w:rPr>
            </w:pPr>
            <w:r>
              <w:rPr>
                <w:rFonts w:hint="eastAsia"/>
              </w:rPr>
              <w:t xml:space="preserve">可追溯性实现：符合要求 </w:t>
            </w:r>
            <w:r>
              <w:rPr>
                <w:rFonts w:hint="eastAsia"/>
              </w:rPr>
              <w:sym w:font="Wingdings 2" w:char="0052"/>
            </w:r>
            <w:r>
              <w:rPr>
                <w:rFonts w:hint="eastAsia"/>
              </w:rPr>
              <w:t>存在不足，说明</w:t>
            </w:r>
            <w:r>
              <w:rPr>
                <w:rFonts w:hint="eastAsia"/>
                <w:u w:val="single"/>
              </w:rPr>
              <w:t xml:space="preserve">  </w:t>
            </w:r>
            <w:r>
              <w:rPr>
                <w:rFonts w:hint="eastAsia" w:ascii="方正仿宋简体" w:eastAsia="方正仿宋简体"/>
                <w:b w:val="0"/>
                <w:bCs/>
                <w:lang w:eastAsia="zh-CN"/>
              </w:rPr>
              <w:t>查《电机车作业安全确认暨交接班记录本》，未记录2022年3月及以后的内容。</w:t>
            </w:r>
            <w:r>
              <w:rPr>
                <w:rFonts w:hint="eastAsia" w:ascii="方正仿宋简体" w:eastAsia="方正仿宋简体"/>
                <w:b w:val="0"/>
                <w:bCs/>
                <w:lang w:val="en-US" w:eastAsia="zh-CN"/>
              </w:rPr>
              <w:t>开具了不符合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pacing w:before="120" w:line="240" w:lineRule="auto"/>
            </w:pPr>
            <w:r>
              <w:rPr>
                <w:rFonts w:hint="eastAsia"/>
              </w:rPr>
              <w:t xml:space="preserve">交付后活动：符合要求 </w:t>
            </w:r>
            <w:r>
              <w:rPr>
                <w:rFonts w:hint="eastAsia"/>
              </w:rPr>
              <w:sym w:font="Wingdings 2" w:char="0052"/>
            </w:r>
            <w:r>
              <w:rPr>
                <w:rFonts w:hint="eastAsia"/>
              </w:rPr>
              <w:t>存在不足，说明</w:t>
            </w:r>
            <w:r>
              <w:rPr>
                <w:rFonts w:hint="eastAsia"/>
                <w:u w:val="single"/>
              </w:rPr>
              <w:t xml:space="preserve">  </w:t>
            </w:r>
            <w:r>
              <w:rPr>
                <w:rFonts w:hint="eastAsia" w:ascii="方正仿宋简体" w:eastAsia="方正仿宋简体"/>
                <w:b w:val="0"/>
                <w:bCs/>
                <w:lang w:eastAsia="zh-CN"/>
              </w:rPr>
              <w:t>查见《顾客满意度调查表》2份，未明确调查时间，也未对调查情况进行汇总统计；追查内部控制制度，销售管理制度中未明确顾客满意相关要求，</w:t>
            </w:r>
            <w:r>
              <w:rPr>
                <w:rFonts w:hint="eastAsia" w:ascii="方正仿宋简体" w:eastAsia="方正仿宋简体"/>
                <w:b w:val="0"/>
                <w:bCs/>
                <w:lang w:val="en-US" w:eastAsia="zh-CN"/>
              </w:rPr>
              <w:t>开具了不符合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pStyle w:val="25"/>
            </w:pPr>
            <w:r>
              <w:rPr>
                <w:rFonts w:hint="eastAsia"/>
              </w:rPr>
              <w:t>精益求精，科学规范，持续改进。</w:t>
            </w:r>
          </w:p>
          <w:p>
            <w:pPr>
              <w:pStyle w:val="25"/>
            </w:pPr>
            <w:r>
              <w:rPr>
                <w:rFonts w:hint="eastAsia"/>
              </w:rPr>
              <w:t>以人为本，安全高效，绿色发展。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安全环保部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见附件</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2008.8</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袁公消备（2015）0052，2015.9.14</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240" w:lineRule="auto"/>
              <w:ind w:firstLine="420" w:firstLineChars="200"/>
              <w:rPr>
                <w:rFonts w:hint="eastAsia"/>
              </w:rPr>
            </w:pPr>
            <w:r>
              <w:rPr>
                <w:rFonts w:hint="eastAsia"/>
                <w:lang w:val="en-US" w:eastAsia="zh-CN"/>
              </w:rPr>
              <w:t>坚决</w:t>
            </w:r>
            <w:r>
              <w:rPr>
                <w:rFonts w:hint="eastAsia"/>
              </w:rPr>
              <w:t>杜绝</w:t>
            </w:r>
            <w:r>
              <w:rPr>
                <w:rFonts w:hint="eastAsia"/>
                <w:lang w:val="en-US" w:eastAsia="zh-CN"/>
              </w:rPr>
              <w:t>生态</w:t>
            </w:r>
            <w:r>
              <w:rPr>
                <w:rFonts w:hint="eastAsia"/>
              </w:rPr>
              <w:t>环境污染事件</w:t>
            </w:r>
            <w:r>
              <w:rPr>
                <w:rFonts w:hint="eastAsia"/>
                <w:lang w:val="en-US" w:eastAsia="zh-CN"/>
              </w:rPr>
              <w:t>的发生</w:t>
            </w:r>
            <w:r>
              <w:rPr>
                <w:rFonts w:hint="eastAsia"/>
              </w:rPr>
              <w:t>，</w:t>
            </w:r>
            <w:r>
              <w:rPr>
                <w:rFonts w:hint="eastAsia"/>
                <w:lang w:val="en-US" w:eastAsia="zh-CN"/>
              </w:rPr>
              <w:t>有效确保公司生态环境工作平稳有序，确保</w:t>
            </w:r>
            <w:r>
              <w:rPr>
                <w:rFonts w:hint="eastAsia"/>
              </w:rPr>
              <w:t>“三废”达标排放，</w:t>
            </w:r>
            <w:r>
              <w:rPr>
                <w:rFonts w:hint="eastAsia"/>
                <w:lang w:val="en-US" w:eastAsia="zh-CN"/>
              </w:rPr>
              <w:t>废水中</w:t>
            </w:r>
            <w:r>
              <w:rPr>
                <w:rFonts w:hint="eastAsia"/>
              </w:rPr>
              <w:t>主要污染物（COD、</w:t>
            </w:r>
            <w:r>
              <w:rPr>
                <w:rFonts w:hint="eastAsia"/>
                <w:lang w:val="en-US" w:eastAsia="zh-CN"/>
              </w:rPr>
              <w:t>PH</w:t>
            </w:r>
            <w:r>
              <w:rPr>
                <w:rFonts w:hint="eastAsia"/>
              </w:rPr>
              <w:t>、</w:t>
            </w:r>
            <w:r>
              <w:rPr>
                <w:rFonts w:hint="eastAsia"/>
                <w:lang w:val="en-US" w:eastAsia="zh-CN"/>
              </w:rPr>
              <w:t>悬浮物</w:t>
            </w:r>
            <w:r>
              <w:rPr>
                <w:rFonts w:hint="eastAsia"/>
              </w:rPr>
              <w:t>）排放指标控制在上级</w:t>
            </w:r>
            <w:r>
              <w:rPr>
                <w:rFonts w:hint="eastAsia"/>
                <w:lang w:val="en-US" w:eastAsia="zh-CN"/>
              </w:rPr>
              <w:t>及当地政府规定的</w:t>
            </w:r>
            <w:r>
              <w:rPr>
                <w:rFonts w:hint="eastAsia"/>
              </w:rPr>
              <w:t>范围内，</w:t>
            </w:r>
            <w:r>
              <w:rPr>
                <w:rFonts w:hint="eastAsia"/>
                <w:lang w:val="en-US" w:eastAsia="zh-CN"/>
              </w:rPr>
              <w:t>有效减少气体无组织排放，有组织排放指标控制在规定范围内，危险废物、一般工业固体废物按规定存放至固定位置并及时交有资质的单位处置</w:t>
            </w:r>
            <w:r>
              <w:rPr>
                <w:rFonts w:hint="eastAsia"/>
              </w:rPr>
              <w:t>。</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b w:val="0"/>
                <w:bCs w:val="0"/>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bCs/>
                <w:szCs w:val="21"/>
                <w:u w:val="single"/>
                <w:lang w:val="en-US" w:eastAsia="zh-CN"/>
              </w:rPr>
              <w:t>沉淀池、尾矿库、布袋除尘</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尾矿库在线监测</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eastAsia="宋体"/>
                      <w:color w:val="000000" w:themeColor="text1"/>
                      <w:lang w:val="en-US" w:eastAsia="zh-CN"/>
                    </w:rPr>
                  </w:pPr>
                  <w:r>
                    <w:rPr>
                      <w:rFonts w:hint="eastAsia"/>
                      <w:color w:val="000000" w:themeColor="text1"/>
                      <w:lang w:val="en-US" w:eastAsia="zh-CN"/>
                    </w:rPr>
                    <w:t>粉尘</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通风、除尘及布袋除尘</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建危废库、签定危废处置协议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同上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边坡坍塌</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尾矿库漫顶</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XY22061901-05</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袁公消备（2015）0052，2015.9.14</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pStyle w:val="25"/>
            </w:pPr>
            <w:r>
              <w:rPr>
                <w:rFonts w:hint="eastAsia"/>
              </w:rPr>
              <w:t>最高管理者制定了文件化的职业健康安全管理体系方针：精益求精，科学规范，持续改进。</w:t>
            </w:r>
          </w:p>
          <w:p>
            <w:pPr>
              <w:pStyle w:val="25"/>
            </w:pPr>
            <w:r>
              <w:rPr>
                <w:rFonts w:hint="eastAsia"/>
              </w:rPr>
              <w:t>以人为本，安全高效，绿色发展。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安全环保部</w:t>
            </w:r>
          </w:p>
          <w:p>
            <w:pPr>
              <w:rPr>
                <w:rFonts w:hint="default" w:eastAsia="宋体"/>
                <w:lang w:val="en-US" w:eastAsia="zh-CN"/>
              </w:rPr>
            </w:pPr>
            <w:r>
              <w:rPr>
                <w:rFonts w:hint="eastAsia"/>
              </w:rPr>
              <w:t>安全的主管部门是——</w:t>
            </w:r>
            <w:r>
              <w:rPr>
                <w:rFonts w:hint="eastAsia"/>
                <w:lang w:val="en-US" w:eastAsia="zh-CN"/>
              </w:rPr>
              <w:t>安全环保部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龚紫强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w:t>
            </w:r>
            <w:r>
              <w:rPr>
                <w:rFonts w:hint="eastAsia"/>
              </w:rPr>
              <w:sym w:font="Wingdings 2" w:char="0052"/>
            </w:r>
            <w:r>
              <w:rPr>
                <w:rFonts w:hint="eastAsia"/>
              </w:rPr>
              <w:t xml:space="preserve">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2021.12.30</w:t>
            </w:r>
            <w:r>
              <w:rPr>
                <w:rFonts w:hint="eastAsia"/>
              </w:rPr>
              <w:t xml:space="preserve">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2015.9.14</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szCs w:val="22"/>
              </w:rPr>
            </w:pPr>
            <w:r>
              <w:rPr>
                <w:rFonts w:hint="eastAsia"/>
                <w:lang w:val="en-US" w:eastAsia="zh-CN"/>
              </w:rPr>
              <w:t>工亡事故、重伤</w:t>
            </w:r>
            <w:r>
              <w:rPr>
                <w:rFonts w:hint="eastAsia"/>
              </w:rPr>
              <w:t>事故</w:t>
            </w:r>
            <w:r>
              <w:rPr>
                <w:rFonts w:hint="eastAsia"/>
                <w:lang w:eastAsia="zh-CN"/>
              </w:rPr>
              <w:t>、</w:t>
            </w:r>
            <w:r>
              <w:rPr>
                <w:rFonts w:hint="eastAsia"/>
              </w:rPr>
              <w:t>重大设备为零；千人负伤率&lt;</w:t>
            </w:r>
            <w:r>
              <w:rPr>
                <w:rFonts w:hint="eastAsia"/>
                <w:lang w:val="en-US" w:eastAsia="zh-CN"/>
              </w:rPr>
              <w:t>10</w:t>
            </w:r>
            <w:r>
              <w:rPr>
                <w:rFonts w:hint="eastAsia"/>
              </w:rPr>
              <w:t>‰</w:t>
            </w:r>
            <w:r>
              <w:rPr>
                <w:rFonts w:hint="eastAsia"/>
                <w:lang w:eastAsia="zh-CN"/>
              </w:rPr>
              <w:t>（</w:t>
            </w:r>
            <w:r>
              <w:rPr>
                <w:rFonts w:hint="eastAsia"/>
                <w:lang w:val="en-US" w:eastAsia="zh-CN"/>
              </w:rPr>
              <w:t>11人</w:t>
            </w:r>
            <w:r>
              <w:rPr>
                <w:rFonts w:hint="eastAsia"/>
                <w:lang w:eastAsia="zh-CN"/>
              </w:rPr>
              <w:t>）</w:t>
            </w:r>
            <w:r>
              <w:rPr>
                <w:rFonts w:hint="eastAsia"/>
              </w:rPr>
              <w:t>；</w:t>
            </w:r>
            <w:r>
              <w:rPr>
                <w:rFonts w:hint="eastAsia"/>
                <w:lang w:val="en-US" w:eastAsia="zh-CN"/>
              </w:rPr>
              <w:t>力争做到二杜绝、一实现（杜绝三违、杜绝事故、实现企业长周期安全生产）；</w:t>
            </w:r>
            <w:r>
              <w:rPr>
                <w:rFonts w:hint="eastAsia"/>
              </w:rPr>
              <w:t>事故隐患整改率</w:t>
            </w:r>
            <w:r>
              <w:rPr>
                <w:rFonts w:hint="eastAsia"/>
                <w:szCs w:val="22"/>
              </w:rPr>
              <w:t>100%；特种作业持证上岗率为100%；职工安全教育培训率100%</w:t>
            </w:r>
            <w:r>
              <w:rPr>
                <w:rFonts w:hint="eastAsia"/>
                <w:szCs w:val="22"/>
                <w:lang w:val="en-US" w:eastAsia="zh-CN"/>
              </w:rPr>
              <w:t>；</w:t>
            </w:r>
            <w:r>
              <w:rPr>
                <w:rFonts w:hint="eastAsia"/>
                <w:color w:val="auto"/>
                <w:lang w:val="en-US" w:eastAsia="zh-CN"/>
              </w:rPr>
              <w:t>严格控制职业病发生，工作场所职业病危害因素定期检测率达到95%以上；接触职业病危害的劳动者在岗期间职业健康检查率达到95%</w:t>
            </w:r>
            <w:r>
              <w:rPr>
                <w:rFonts w:hint="eastAsia"/>
                <w:szCs w:val="22"/>
              </w:rPr>
              <w:t>。</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s="Times New Roman"/>
                <w:b w:val="0"/>
                <w:bCs w:val="0"/>
                <w:sz w:val="21"/>
                <w:szCs w:val="21"/>
                <w:u w:val="single"/>
                <w:lang w:val="en-US" w:eastAsia="zh-CN"/>
              </w:rPr>
              <w:t>潜孔钻、挖机、铲车、运输车、磨重机、摇床、破碎机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52"/>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spacing w:before="120" w:line="240" w:lineRule="auto"/>
              <w:ind w:firstLine="630" w:firstLineChars="300"/>
              <w:rPr>
                <w:rFonts w:hint="default"/>
                <w:lang w:val="en-US"/>
              </w:rPr>
            </w:pPr>
            <w:r>
              <w:rPr>
                <w:rFonts w:hint="eastAsia"/>
              </w:rPr>
              <w:t xml:space="preserve">符合要求  </w:t>
            </w:r>
            <w:r>
              <w:rPr>
                <w:rFonts w:hint="eastAsia" w:ascii="Wingdings" w:hAnsi="Wingdings"/>
              </w:rPr>
              <w:t>¨</w:t>
            </w:r>
            <w:r>
              <w:rPr>
                <w:rFonts w:hint="eastAsia"/>
              </w:rPr>
              <w:sym w:font="Wingdings 2" w:char="0052"/>
            </w:r>
            <w:r>
              <w:rPr>
                <w:rFonts w:hint="eastAsia"/>
              </w:rPr>
              <w:t>存在不足，说明</w:t>
            </w:r>
            <w:r>
              <w:rPr>
                <w:rFonts w:hint="eastAsia"/>
                <w:u w:val="single"/>
              </w:rPr>
              <w:t xml:space="preserve"> </w:t>
            </w:r>
            <w:r>
              <w:rPr>
                <w:rFonts w:hint="eastAsia" w:ascii="方正仿宋简体" w:eastAsia="方正仿宋简体"/>
                <w:b w:val="0"/>
                <w:bCs/>
                <w:lang w:eastAsia="zh-CN"/>
              </w:rPr>
              <w:t>查《电机车作业安全确认暨交接班记录本》，未记录2022年3月及以后的内容。</w:t>
            </w:r>
            <w:r>
              <w:rPr>
                <w:rFonts w:hint="eastAsia" w:asciiTheme="minorEastAsia" w:hAnsiTheme="minorEastAsia" w:eastAsiaTheme="minorEastAsia" w:cstheme="minorEastAsia"/>
                <w:color w:val="auto"/>
                <w:sz w:val="21"/>
                <w:szCs w:val="21"/>
                <w:lang w:val="en-US" w:eastAsia="zh-CN" w:bidi="ar"/>
              </w:rPr>
              <w:t>未能提供2021年11月16日职业健康体检中疑似职业病2人次和职业</w:t>
            </w:r>
            <w:r>
              <w:rPr>
                <w:rFonts w:hint="eastAsia" w:ascii="宋体" w:hAnsi="宋体" w:eastAsia="宋体" w:cs="宋体"/>
                <w:color w:val="auto"/>
                <w:kern w:val="0"/>
                <w:sz w:val="21"/>
                <w:szCs w:val="21"/>
              </w:rPr>
              <w:t>禁忌证2</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人次</w:t>
            </w:r>
            <w:r>
              <w:rPr>
                <w:rFonts w:hint="eastAsia" w:ascii="宋体" w:hAnsi="宋体" w:eastAsia="宋体" w:cs="宋体"/>
                <w:color w:val="auto"/>
                <w:kern w:val="0"/>
                <w:sz w:val="21"/>
                <w:szCs w:val="21"/>
                <w:lang w:val="en-US" w:eastAsia="zh-CN"/>
              </w:rPr>
              <w:t>跟</w:t>
            </w:r>
            <w:r>
              <w:rPr>
                <w:rFonts w:hint="eastAsia" w:hAnsi="宋体" w:cs="宋体"/>
                <w:color w:val="auto"/>
                <w:kern w:val="0"/>
                <w:sz w:val="21"/>
                <w:szCs w:val="21"/>
                <w:lang w:val="en-US" w:eastAsia="zh-CN"/>
              </w:rPr>
              <w:t>进行复查及处置的证据。</w:t>
            </w:r>
            <w:r>
              <w:rPr>
                <w:rFonts w:hint="eastAsia" w:hAnsiTheme="minorEastAsia"/>
                <w:color w:val="auto"/>
                <w:lang w:val="en-US" w:eastAsia="zh-CN"/>
              </w:rPr>
              <w:t>查见现场绝缘鞋、绝缘棒等电工用品用具，未能提供有效期内的耐压测试证据。以上3项不符合。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同上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9</w:t>
            </w:r>
            <w:r>
              <w:rPr>
                <w:rFonts w:hint="eastAsia"/>
              </w:rPr>
              <w:t>日进行了</w:t>
            </w:r>
            <w:r>
              <w:rPr>
                <w:rFonts w:hint="eastAsia"/>
                <w:u w:val="single"/>
              </w:rPr>
              <w:t xml:space="preserve"> </w:t>
            </w:r>
            <w:r>
              <w:rPr>
                <w:rFonts w:hint="eastAsia"/>
                <w:u w:val="single"/>
                <w:lang w:val="en-US" w:eastAsia="zh-CN"/>
              </w:rPr>
              <w:t>边坡坍塌事故</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尾矿库漫顶事故</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pPr>
              <w:spacing w:before="120" w:line="240" w:lineRule="auto"/>
              <w:ind w:firstLine="630" w:firstLineChars="300"/>
            </w:pPr>
            <w:r>
              <w:rPr>
                <w:rFonts w:hint="eastAsia"/>
              </w:rPr>
              <w:t>应急准备和响应控制：</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ascii="方正仿宋简体" w:eastAsia="方正仿宋简体"/>
                <w:b/>
                <w:lang w:val="en-US" w:eastAsia="zh-CN"/>
              </w:rPr>
              <w:t>查2号尾矿库应急仓库内缺少防止巡坝工被蚊虫和蛇叮咬的应急药物。</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见员工535人在宜春新建医院体检总结报告书</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袁公消备（2015）0052，2015.9.14</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1152017005雷检字（2021）30045</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1BF65881"/>
    <w:rsid w:val="429D031D"/>
    <w:rsid w:val="6D8A1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20378</Words>
  <Characters>21627</Characters>
  <Lines>150</Lines>
  <Paragraphs>42</Paragraphs>
  <TotalTime>2</TotalTime>
  <ScaleCrop>false</ScaleCrop>
  <LinksUpToDate>false</LinksUpToDate>
  <CharactersWithSpaces>24758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2022-09-08T14:58:48Z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