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72"/>
        <w:gridCol w:w="1461"/>
        <w:gridCol w:w="114"/>
        <w:gridCol w:w="1078"/>
        <w:gridCol w:w="1602"/>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5"/>
            <w:tcBorders>
              <w:top w:val="single" w:color="auto" w:sz="8" w:space="0"/>
            </w:tcBorders>
            <w:vAlign w:val="center"/>
          </w:tcPr>
          <w:p>
            <w:pPr>
              <w:snapToGrid w:val="0"/>
              <w:spacing w:line="280" w:lineRule="exact"/>
              <w:jc w:val="center"/>
              <w:rPr>
                <w:b/>
                <w:sz w:val="20"/>
              </w:rPr>
            </w:pPr>
            <w:r>
              <w:rPr>
                <w:b/>
                <w:sz w:val="20"/>
              </w:rPr>
              <w:t>宜春钽铌矿有限公司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b/>
                <w:sz w:val="20"/>
              </w:rPr>
              <w:t>Q</w:t>
            </w:r>
            <w:r>
              <w:rPr>
                <w:rFonts w:hint="eastAsia"/>
                <w:b/>
                <w:sz w:val="20"/>
                <w:lang w:val="en-US" w:eastAsia="zh-CN"/>
              </w:rPr>
              <w:t>EO</w:t>
            </w:r>
            <w:r>
              <w:rPr>
                <w:b/>
                <w:sz w:val="20"/>
              </w:rPr>
              <w:t>：02.06.02;02.07.01;02.07.02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647" w:type="dxa"/>
            <w:gridSpan w:val="3"/>
            <w:vAlign w:val="center"/>
          </w:tcPr>
          <w:p>
            <w:pPr>
              <w:snapToGrid w:val="0"/>
              <w:spacing w:line="280" w:lineRule="exact"/>
              <w:jc w:val="center"/>
              <w:rPr>
                <w:b/>
                <w:sz w:val="20"/>
              </w:rPr>
            </w:pPr>
            <w:r>
              <w:rPr>
                <w:rFonts w:hint="eastAsia"/>
                <w:b/>
                <w:sz w:val="20"/>
                <w:lang w:val="en-US" w:eastAsia="zh-CN"/>
              </w:rPr>
              <w:t>伍光华</w:t>
            </w:r>
          </w:p>
        </w:tc>
        <w:tc>
          <w:tcPr>
            <w:tcW w:w="1078" w:type="dxa"/>
            <w:vAlign w:val="center"/>
          </w:tcPr>
          <w:p>
            <w:pPr>
              <w:snapToGrid w:val="0"/>
              <w:spacing w:line="280" w:lineRule="exact"/>
              <w:jc w:val="center"/>
              <w:rPr>
                <w:b/>
                <w:sz w:val="22"/>
                <w:szCs w:val="22"/>
              </w:rPr>
            </w:pPr>
            <w:r>
              <w:rPr>
                <w:rFonts w:hint="eastAsia"/>
                <w:b/>
                <w:sz w:val="22"/>
                <w:szCs w:val="22"/>
              </w:rPr>
              <w:t>专业</w:t>
            </w:r>
          </w:p>
        </w:tc>
        <w:tc>
          <w:tcPr>
            <w:tcW w:w="1602" w:type="dxa"/>
            <w:vAlign w:val="center"/>
          </w:tcPr>
          <w:p>
            <w:pPr>
              <w:snapToGrid w:val="0"/>
              <w:spacing w:line="280" w:lineRule="exact"/>
              <w:ind w:left="52" w:leftChars="0"/>
              <w:jc w:val="center"/>
              <w:rPr>
                <w:b/>
                <w:sz w:val="20"/>
              </w:rPr>
            </w:pPr>
            <w:r>
              <w:rPr>
                <w:b/>
                <w:sz w:val="20"/>
              </w:rPr>
              <w:t>Q：02.06.02;02.07.01;02.07.02</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72" w:type="dxa"/>
            <w:vAlign w:val="center"/>
          </w:tcPr>
          <w:p>
            <w:pPr>
              <w:snapToGrid w:val="0"/>
              <w:spacing w:line="360" w:lineRule="exact"/>
              <w:jc w:val="center"/>
              <w:rPr>
                <w:b/>
                <w:sz w:val="20"/>
              </w:rPr>
            </w:pPr>
            <w:r>
              <w:rPr>
                <w:rFonts w:hint="eastAsia"/>
                <w:b/>
                <w:sz w:val="20"/>
                <w:lang w:val="en-US" w:eastAsia="zh-CN"/>
              </w:rPr>
              <w:t>褚敏杰</w:t>
            </w:r>
          </w:p>
        </w:tc>
        <w:tc>
          <w:tcPr>
            <w:tcW w:w="1575" w:type="dxa"/>
            <w:gridSpan w:val="2"/>
            <w:vAlign w:val="center"/>
          </w:tcPr>
          <w:p>
            <w:pPr>
              <w:snapToGrid w:val="0"/>
              <w:spacing w:line="360" w:lineRule="exact"/>
              <w:jc w:val="center"/>
              <w:rPr>
                <w:b/>
                <w:sz w:val="20"/>
              </w:rPr>
            </w:pPr>
            <w:r>
              <w:rPr>
                <w:rFonts w:hint="eastAsia"/>
                <w:b/>
                <w:sz w:val="20"/>
                <w:lang w:val="en-US" w:eastAsia="zh-CN"/>
              </w:rPr>
              <w:t>林郁（QE实习）</w:t>
            </w:r>
          </w:p>
        </w:tc>
        <w:tc>
          <w:tcPr>
            <w:tcW w:w="1078" w:type="dxa"/>
            <w:vAlign w:val="center"/>
          </w:tcPr>
          <w:p>
            <w:pPr>
              <w:snapToGrid w:val="0"/>
              <w:spacing w:line="360" w:lineRule="exact"/>
              <w:jc w:val="center"/>
              <w:rPr>
                <w:b/>
                <w:sz w:val="20"/>
              </w:rPr>
            </w:pPr>
          </w:p>
        </w:tc>
        <w:tc>
          <w:tcPr>
            <w:tcW w:w="1602"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b/>
                <w:sz w:val="20"/>
                <w:lang w:val="en-US" w:eastAsia="zh-CN"/>
              </w:rPr>
            </w:pPr>
            <w:r>
              <w:rPr>
                <w:rFonts w:hint="eastAsia"/>
                <w:b/>
                <w:sz w:val="20"/>
                <w:lang w:val="en-US" w:eastAsia="zh-CN"/>
              </w:rPr>
              <w:t>生产：钻孔-----填炸药------爆破------铲装------运输------破碎-------球磨分级-----浮选------脱水-----入库</w:t>
            </w:r>
          </w:p>
          <w:p>
            <w:pPr>
              <w:snapToGrid w:val="0"/>
              <w:spacing w:line="280" w:lineRule="exact"/>
              <w:rPr>
                <w:b/>
                <w:sz w:val="20"/>
              </w:rPr>
            </w:pPr>
            <w:r>
              <w:rPr>
                <w:rFonts w:hint="eastAsia"/>
                <w:b/>
                <w:sz w:val="20"/>
                <w:lang w:val="en-US" w:eastAsia="zh-CN"/>
              </w:rPr>
              <w:t>销售：</w:t>
            </w:r>
            <w:r>
              <w:rPr>
                <w:rFonts w:hint="eastAsia"/>
                <w:b/>
                <w:bCs/>
                <w:color w:val="auto"/>
                <w:sz w:val="20"/>
                <w:szCs w:val="20"/>
                <w:lang w:val="en-US" w:eastAsia="zh-CN"/>
              </w:rPr>
              <w:t>合同评审——合同签订——发货——运输——收货确认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8"/>
            <w:vAlign w:val="center"/>
          </w:tcPr>
          <w:p>
            <w:pPr>
              <w:snapToGrid w:val="0"/>
              <w:spacing w:line="280" w:lineRule="exact"/>
              <w:jc w:val="both"/>
              <w:rPr>
                <w:b/>
                <w:sz w:val="20"/>
              </w:rPr>
            </w:pPr>
            <w:r>
              <w:rPr>
                <w:rFonts w:hint="eastAsia"/>
                <w:b/>
                <w:sz w:val="20"/>
                <w:lang w:val="en-US" w:eastAsia="zh-CN"/>
              </w:rPr>
              <w:t>填炸药、爆破、浮选过程的风险，制定了相应的作业指导书和安全操作规程，无特殊过程。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8"/>
            <w:vAlign w:val="center"/>
          </w:tcPr>
          <w:p>
            <w:pPr>
              <w:snapToGrid w:val="0"/>
              <w:spacing w:line="280" w:lineRule="exact"/>
              <w:jc w:val="center"/>
              <w:rPr>
                <w:b/>
                <w:sz w:val="20"/>
              </w:rPr>
            </w:pPr>
            <w:r>
              <w:rPr>
                <w:rFonts w:hint="eastAsia"/>
                <w:b/>
                <w:sz w:val="20"/>
                <w:lang w:val="en-US" w:eastAsia="zh-CN"/>
              </w:rPr>
              <w:t>钽精矿行业标准、锂长石行业标准、锂云母精矿行业标准等。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8"/>
            <w:vAlign w:val="center"/>
          </w:tcPr>
          <w:p>
            <w:pPr>
              <w:snapToGrid w:val="0"/>
              <w:spacing w:line="280" w:lineRule="exact"/>
              <w:jc w:val="left"/>
              <w:rPr>
                <w:b/>
                <w:sz w:val="20"/>
              </w:rPr>
            </w:pPr>
            <w:r>
              <w:rPr>
                <w:rFonts w:hint="eastAsia"/>
                <w:b/>
                <w:sz w:val="20"/>
              </w:rPr>
              <w:t>锂辉石、锂云母精矿化学分析方法氧化锂、氧化钠、氧化钾量的测定 火焰原子吸收光谱法</w:t>
            </w:r>
            <w:r>
              <w:rPr>
                <w:rFonts w:hint="eastAsia"/>
                <w:b/>
                <w:sz w:val="20"/>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p>
        </w:tc>
        <w:tc>
          <w:tcPr>
            <w:tcW w:w="2984" w:type="dxa"/>
            <w:gridSpan w:val="4"/>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p>
        </w:tc>
        <w:tc>
          <w:tcPr>
            <w:tcW w:w="2984" w:type="dxa"/>
            <w:gridSpan w:val="4"/>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 xml:space="preserve">EMS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72"/>
        <w:gridCol w:w="1461"/>
        <w:gridCol w:w="114"/>
        <w:gridCol w:w="1078"/>
        <w:gridCol w:w="1602"/>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5"/>
            <w:tcBorders>
              <w:top w:val="single" w:color="auto" w:sz="8" w:space="0"/>
            </w:tcBorders>
            <w:vAlign w:val="center"/>
          </w:tcPr>
          <w:p>
            <w:pPr>
              <w:snapToGrid w:val="0"/>
              <w:spacing w:line="280" w:lineRule="exact"/>
              <w:jc w:val="center"/>
              <w:rPr>
                <w:b/>
                <w:sz w:val="20"/>
              </w:rPr>
            </w:pPr>
            <w:r>
              <w:rPr>
                <w:b/>
                <w:sz w:val="20"/>
              </w:rPr>
              <w:t>宜春钽铌矿有限公司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b/>
                <w:sz w:val="20"/>
              </w:rPr>
              <w:t>Q</w:t>
            </w:r>
            <w:r>
              <w:rPr>
                <w:rFonts w:hint="eastAsia"/>
                <w:b/>
                <w:sz w:val="20"/>
                <w:lang w:val="en-US" w:eastAsia="zh-CN"/>
              </w:rPr>
              <w:t>EO</w:t>
            </w:r>
            <w:r>
              <w:rPr>
                <w:b/>
                <w:sz w:val="20"/>
              </w:rPr>
              <w:t>：02.06.02;02.07.01;02.07.02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647" w:type="dxa"/>
            <w:gridSpan w:val="3"/>
            <w:vAlign w:val="center"/>
          </w:tcPr>
          <w:p>
            <w:pPr>
              <w:snapToGrid w:val="0"/>
              <w:spacing w:line="280" w:lineRule="exact"/>
              <w:jc w:val="center"/>
              <w:rPr>
                <w:b/>
                <w:sz w:val="20"/>
              </w:rPr>
            </w:pPr>
            <w:r>
              <w:rPr>
                <w:rFonts w:hint="eastAsia"/>
                <w:b/>
                <w:sz w:val="20"/>
                <w:lang w:val="en-US" w:eastAsia="zh-CN"/>
              </w:rPr>
              <w:t>伍光华</w:t>
            </w:r>
          </w:p>
        </w:tc>
        <w:tc>
          <w:tcPr>
            <w:tcW w:w="1078" w:type="dxa"/>
            <w:vAlign w:val="center"/>
          </w:tcPr>
          <w:p>
            <w:pPr>
              <w:snapToGrid w:val="0"/>
              <w:spacing w:line="280" w:lineRule="exact"/>
              <w:jc w:val="center"/>
              <w:rPr>
                <w:b/>
                <w:sz w:val="22"/>
                <w:szCs w:val="22"/>
              </w:rPr>
            </w:pPr>
            <w:r>
              <w:rPr>
                <w:rFonts w:hint="eastAsia"/>
                <w:b/>
                <w:sz w:val="22"/>
                <w:szCs w:val="22"/>
              </w:rPr>
              <w:t>专业</w:t>
            </w:r>
          </w:p>
        </w:tc>
        <w:tc>
          <w:tcPr>
            <w:tcW w:w="1602" w:type="dxa"/>
            <w:vAlign w:val="center"/>
          </w:tcPr>
          <w:p>
            <w:pPr>
              <w:snapToGrid w:val="0"/>
              <w:spacing w:line="280" w:lineRule="exact"/>
              <w:ind w:left="52" w:leftChars="0"/>
              <w:jc w:val="center"/>
              <w:rPr>
                <w:b/>
                <w:sz w:val="20"/>
              </w:rPr>
            </w:pPr>
            <w:r>
              <w:rPr>
                <w:rFonts w:hint="eastAsia"/>
                <w:b/>
                <w:sz w:val="20"/>
                <w:lang w:val="en-US" w:eastAsia="zh-CN"/>
              </w:rPr>
              <w:t>E</w:t>
            </w:r>
            <w:r>
              <w:rPr>
                <w:b/>
                <w:sz w:val="20"/>
              </w:rPr>
              <w:t>：02.06.02;02.07.01;02.07.02</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72" w:type="dxa"/>
            <w:vAlign w:val="center"/>
          </w:tcPr>
          <w:p>
            <w:pPr>
              <w:snapToGrid w:val="0"/>
              <w:spacing w:line="360" w:lineRule="exact"/>
              <w:jc w:val="center"/>
              <w:rPr>
                <w:b/>
                <w:sz w:val="20"/>
              </w:rPr>
            </w:pPr>
            <w:r>
              <w:rPr>
                <w:rFonts w:hint="eastAsia"/>
                <w:b/>
                <w:sz w:val="20"/>
                <w:lang w:val="en-US" w:eastAsia="zh-CN"/>
              </w:rPr>
              <w:t>褚敏杰</w:t>
            </w:r>
          </w:p>
        </w:tc>
        <w:tc>
          <w:tcPr>
            <w:tcW w:w="1575" w:type="dxa"/>
            <w:gridSpan w:val="2"/>
            <w:vAlign w:val="center"/>
          </w:tcPr>
          <w:p>
            <w:pPr>
              <w:snapToGrid w:val="0"/>
              <w:spacing w:line="360" w:lineRule="exact"/>
              <w:jc w:val="center"/>
              <w:rPr>
                <w:b/>
                <w:sz w:val="20"/>
              </w:rPr>
            </w:pPr>
            <w:r>
              <w:rPr>
                <w:rFonts w:hint="eastAsia"/>
                <w:b/>
                <w:sz w:val="20"/>
                <w:lang w:val="en-US" w:eastAsia="zh-CN"/>
              </w:rPr>
              <w:t>林郁（QE实习）</w:t>
            </w:r>
          </w:p>
        </w:tc>
        <w:tc>
          <w:tcPr>
            <w:tcW w:w="1078" w:type="dxa"/>
            <w:vAlign w:val="center"/>
          </w:tcPr>
          <w:p>
            <w:pPr>
              <w:snapToGrid w:val="0"/>
              <w:spacing w:line="360" w:lineRule="exact"/>
              <w:jc w:val="center"/>
              <w:rPr>
                <w:b/>
                <w:sz w:val="20"/>
              </w:rPr>
            </w:pPr>
          </w:p>
        </w:tc>
        <w:tc>
          <w:tcPr>
            <w:tcW w:w="1602"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b/>
                <w:sz w:val="20"/>
                <w:lang w:val="en-US" w:eastAsia="zh-CN"/>
              </w:rPr>
            </w:pPr>
            <w:r>
              <w:rPr>
                <w:rFonts w:hint="eastAsia"/>
                <w:b/>
                <w:sz w:val="20"/>
                <w:lang w:val="en-US" w:eastAsia="zh-CN"/>
              </w:rPr>
              <w:t>生产：钻孔-----填炸药------爆破------铲装------运输------破碎-------球磨分级-----浮选------脱水-----入库</w:t>
            </w:r>
          </w:p>
          <w:p>
            <w:pPr>
              <w:snapToGrid w:val="0"/>
              <w:spacing w:line="280" w:lineRule="exact"/>
              <w:rPr>
                <w:b/>
                <w:sz w:val="20"/>
              </w:rPr>
            </w:pPr>
            <w:r>
              <w:rPr>
                <w:rFonts w:hint="eastAsia"/>
                <w:b/>
                <w:sz w:val="20"/>
                <w:lang w:val="en-US" w:eastAsia="zh-CN"/>
              </w:rPr>
              <w:t>销售：</w:t>
            </w:r>
            <w:r>
              <w:rPr>
                <w:rFonts w:hint="eastAsia"/>
                <w:b/>
                <w:bCs/>
                <w:color w:val="auto"/>
                <w:sz w:val="20"/>
                <w:szCs w:val="20"/>
                <w:lang w:val="en-US" w:eastAsia="zh-CN"/>
              </w:rPr>
              <w:t>合同评审——合同签订——发货——运输——收货确认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8"/>
            <w:vAlign w:val="center"/>
          </w:tcPr>
          <w:p>
            <w:pPr>
              <w:snapToGrid w:val="0"/>
              <w:spacing w:line="280" w:lineRule="exact"/>
              <w:jc w:val="both"/>
              <w:rPr>
                <w:b/>
                <w:sz w:val="20"/>
              </w:rPr>
            </w:pPr>
            <w:r>
              <w:rPr>
                <w:rFonts w:hint="eastAsia"/>
                <w:b/>
                <w:sz w:val="20"/>
                <w:lang w:val="en-US" w:eastAsia="zh-CN"/>
              </w:rPr>
              <w:t>粉尘、废水、固废、危废和噪声，制定管理方案和控制措施，每年安排第三方检测。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8"/>
            <w:vAlign w:val="center"/>
          </w:tcPr>
          <w:p>
            <w:pPr>
              <w:snapToGrid w:val="0"/>
              <w:spacing w:line="280" w:lineRule="exact"/>
              <w:jc w:val="center"/>
              <w:rPr>
                <w:b/>
                <w:sz w:val="20"/>
              </w:rPr>
            </w:pPr>
            <w:r>
              <w:rPr>
                <w:rFonts w:hint="eastAsia"/>
                <w:b/>
                <w:sz w:val="20"/>
                <w:lang w:val="en-US" w:eastAsia="zh-CN"/>
              </w:rPr>
              <w:t>国家对废水、大气、环境、固体废物等相关规定。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8"/>
            <w:vAlign w:val="center"/>
          </w:tcPr>
          <w:p>
            <w:pPr>
              <w:pStyle w:val="5"/>
              <w:rPr>
                <w:rFonts w:hint="eastAsia" w:ascii="宋体" w:hAnsi="宋体" w:eastAsia="宋体" w:cs="宋体"/>
                <w:b/>
                <w:bCs w:val="0"/>
                <w:color w:val="auto"/>
                <w:sz w:val="20"/>
                <w:szCs w:val="20"/>
                <w:lang w:val="en-US" w:eastAsia="zh-CN"/>
              </w:rPr>
            </w:pPr>
            <w:r>
              <w:rPr>
                <w:rFonts w:hint="eastAsia" w:ascii="宋体" w:hAnsi="宋体" w:eastAsia="宋体" w:cs="宋体"/>
                <w:b/>
                <w:bCs w:val="0"/>
                <w:sz w:val="20"/>
                <w:szCs w:val="20"/>
                <w:lang w:val="en-US" w:eastAsia="zh-CN"/>
              </w:rPr>
              <w:t>提供</w:t>
            </w:r>
            <w:r>
              <w:rPr>
                <w:rFonts w:hint="eastAsia" w:ascii="宋体" w:hAnsi="宋体" w:eastAsia="宋体" w:cs="宋体"/>
                <w:b/>
                <w:bCs w:val="0"/>
                <w:sz w:val="20"/>
                <w:szCs w:val="20"/>
                <w:lang w:bidi="ar"/>
              </w:rPr>
              <w:t>202</w:t>
            </w:r>
            <w:r>
              <w:rPr>
                <w:rFonts w:hint="eastAsia" w:ascii="宋体" w:hAnsi="宋体" w:eastAsia="宋体" w:cs="宋体"/>
                <w:b/>
                <w:bCs w:val="0"/>
                <w:sz w:val="20"/>
                <w:szCs w:val="20"/>
                <w:lang w:val="en-US" w:eastAsia="zh-CN" w:bidi="ar"/>
              </w:rPr>
              <w:t>2</w:t>
            </w:r>
            <w:r>
              <w:rPr>
                <w:rFonts w:hint="eastAsia" w:ascii="宋体" w:hAnsi="宋体" w:eastAsia="宋体" w:cs="宋体"/>
                <w:b/>
                <w:bCs w:val="0"/>
                <w:sz w:val="20"/>
                <w:szCs w:val="20"/>
                <w:lang w:bidi="ar"/>
              </w:rPr>
              <w:t>年</w:t>
            </w:r>
            <w:r>
              <w:rPr>
                <w:rFonts w:hint="eastAsia" w:ascii="宋体" w:hAnsi="宋体" w:eastAsia="宋体" w:cs="宋体"/>
                <w:b/>
                <w:bCs w:val="0"/>
                <w:sz w:val="20"/>
                <w:szCs w:val="20"/>
                <w:lang w:val="en-US" w:eastAsia="zh-CN" w:bidi="ar"/>
              </w:rPr>
              <w:t>7</w:t>
            </w:r>
            <w:r>
              <w:rPr>
                <w:rFonts w:hint="eastAsia" w:ascii="宋体" w:hAnsi="宋体" w:eastAsia="宋体" w:cs="宋体"/>
                <w:b/>
                <w:bCs w:val="0"/>
                <w:sz w:val="20"/>
                <w:szCs w:val="20"/>
                <w:lang w:bidi="ar"/>
              </w:rPr>
              <w:t>月</w:t>
            </w:r>
            <w:r>
              <w:rPr>
                <w:rFonts w:hint="eastAsia" w:ascii="宋体" w:hAnsi="宋体" w:eastAsia="宋体" w:cs="宋体"/>
                <w:b/>
                <w:bCs w:val="0"/>
                <w:sz w:val="20"/>
                <w:szCs w:val="20"/>
                <w:lang w:val="en-US" w:eastAsia="zh-CN" w:bidi="ar"/>
              </w:rPr>
              <w:t>11</w:t>
            </w:r>
            <w:r>
              <w:rPr>
                <w:rFonts w:hint="eastAsia" w:ascii="宋体" w:hAnsi="宋体" w:eastAsia="宋体" w:cs="宋体"/>
                <w:b/>
                <w:bCs w:val="0"/>
                <w:sz w:val="20"/>
                <w:szCs w:val="20"/>
                <w:lang w:bidi="ar"/>
              </w:rPr>
              <w:t>日委托江西</w:t>
            </w:r>
            <w:r>
              <w:rPr>
                <w:rFonts w:hint="eastAsia" w:ascii="宋体" w:hAnsi="宋体" w:eastAsia="宋体" w:cs="宋体"/>
                <w:b/>
                <w:bCs w:val="0"/>
                <w:sz w:val="20"/>
                <w:szCs w:val="20"/>
                <w:lang w:val="en-US" w:eastAsia="zh-CN" w:bidi="ar"/>
              </w:rPr>
              <w:t>祥逸</w:t>
            </w:r>
            <w:r>
              <w:rPr>
                <w:rFonts w:hint="eastAsia" w:ascii="宋体" w:hAnsi="宋体" w:eastAsia="宋体" w:cs="宋体"/>
                <w:b/>
                <w:bCs w:val="0"/>
                <w:sz w:val="20"/>
                <w:szCs w:val="20"/>
                <w:lang w:bidi="ar"/>
              </w:rPr>
              <w:t>检测技术有限公司对公司生产废水、有组织废气，无组织废气、厂界环境噪声等项目进行检测，并出具检测报告。</w:t>
            </w:r>
            <w:r>
              <w:rPr>
                <w:rFonts w:hint="eastAsia" w:ascii="宋体" w:hAnsi="宋体" w:eastAsia="宋体" w:cs="宋体"/>
                <w:b/>
                <w:bCs w:val="0"/>
                <w:color w:val="auto"/>
                <w:sz w:val="20"/>
                <w:szCs w:val="20"/>
                <w:lang w:val="en-US" w:eastAsia="zh-CN"/>
              </w:rPr>
              <w:t>检测结论：合格</w:t>
            </w:r>
          </w:p>
          <w:p>
            <w:pPr>
              <w:snapToGrid w:val="0"/>
              <w:spacing w:line="280" w:lineRule="exact"/>
              <w:jc w:val="left"/>
              <w:rPr>
                <w:rFonts w:hint="eastAsia" w:eastAsia="宋体"/>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p>
        </w:tc>
        <w:tc>
          <w:tcPr>
            <w:tcW w:w="2984" w:type="dxa"/>
            <w:gridSpan w:val="4"/>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p>
        </w:tc>
        <w:tc>
          <w:tcPr>
            <w:tcW w:w="2984" w:type="dxa"/>
            <w:gridSpan w:val="4"/>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OHSMS</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72"/>
        <w:gridCol w:w="1461"/>
        <w:gridCol w:w="114"/>
        <w:gridCol w:w="1078"/>
        <w:gridCol w:w="1602"/>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5"/>
            <w:tcBorders>
              <w:top w:val="single" w:color="auto" w:sz="8" w:space="0"/>
            </w:tcBorders>
            <w:vAlign w:val="center"/>
          </w:tcPr>
          <w:p>
            <w:pPr>
              <w:snapToGrid w:val="0"/>
              <w:spacing w:line="280" w:lineRule="exact"/>
              <w:jc w:val="center"/>
              <w:rPr>
                <w:b/>
                <w:sz w:val="20"/>
              </w:rPr>
            </w:pPr>
            <w:r>
              <w:rPr>
                <w:b/>
                <w:sz w:val="20"/>
              </w:rPr>
              <w:t>宜春钽铌矿有限公司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b/>
                <w:sz w:val="20"/>
              </w:rPr>
              <w:t>Q</w:t>
            </w:r>
            <w:r>
              <w:rPr>
                <w:rFonts w:hint="eastAsia"/>
                <w:b/>
                <w:sz w:val="20"/>
                <w:lang w:val="en-US" w:eastAsia="zh-CN"/>
              </w:rPr>
              <w:t>EO</w:t>
            </w:r>
            <w:r>
              <w:rPr>
                <w:b/>
                <w:sz w:val="20"/>
              </w:rPr>
              <w:t>：02.06.02;02.07.01;02.07.02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647" w:type="dxa"/>
            <w:gridSpan w:val="3"/>
            <w:vAlign w:val="center"/>
          </w:tcPr>
          <w:p>
            <w:pPr>
              <w:snapToGrid w:val="0"/>
              <w:spacing w:line="280" w:lineRule="exact"/>
              <w:jc w:val="center"/>
              <w:rPr>
                <w:b/>
                <w:sz w:val="20"/>
              </w:rPr>
            </w:pPr>
            <w:r>
              <w:rPr>
                <w:rFonts w:hint="eastAsia"/>
                <w:b/>
                <w:sz w:val="20"/>
                <w:lang w:val="en-US" w:eastAsia="zh-CN"/>
              </w:rPr>
              <w:t>伍光华</w:t>
            </w:r>
          </w:p>
        </w:tc>
        <w:tc>
          <w:tcPr>
            <w:tcW w:w="1078" w:type="dxa"/>
            <w:vAlign w:val="center"/>
          </w:tcPr>
          <w:p>
            <w:pPr>
              <w:snapToGrid w:val="0"/>
              <w:spacing w:line="280" w:lineRule="exact"/>
              <w:jc w:val="center"/>
              <w:rPr>
                <w:b/>
                <w:sz w:val="22"/>
                <w:szCs w:val="22"/>
              </w:rPr>
            </w:pPr>
            <w:r>
              <w:rPr>
                <w:rFonts w:hint="eastAsia"/>
                <w:b/>
                <w:sz w:val="22"/>
                <w:szCs w:val="22"/>
              </w:rPr>
              <w:t>专业</w:t>
            </w:r>
          </w:p>
        </w:tc>
        <w:tc>
          <w:tcPr>
            <w:tcW w:w="1602" w:type="dxa"/>
            <w:vAlign w:val="center"/>
          </w:tcPr>
          <w:p>
            <w:pPr>
              <w:snapToGrid w:val="0"/>
              <w:spacing w:line="280" w:lineRule="exact"/>
              <w:ind w:left="52" w:leftChars="0"/>
              <w:jc w:val="center"/>
              <w:rPr>
                <w:b/>
                <w:sz w:val="20"/>
              </w:rPr>
            </w:pPr>
            <w:r>
              <w:rPr>
                <w:rFonts w:hint="eastAsia"/>
                <w:b/>
                <w:sz w:val="20"/>
                <w:lang w:val="en-US" w:eastAsia="zh-CN"/>
              </w:rPr>
              <w:t>O</w:t>
            </w:r>
            <w:r>
              <w:rPr>
                <w:b/>
                <w:sz w:val="20"/>
              </w:rPr>
              <w:t>：02.06.02;02.07.01;02.07.02</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72" w:type="dxa"/>
            <w:vAlign w:val="center"/>
          </w:tcPr>
          <w:p>
            <w:pPr>
              <w:snapToGrid w:val="0"/>
              <w:spacing w:line="360" w:lineRule="exact"/>
              <w:jc w:val="center"/>
              <w:rPr>
                <w:b/>
                <w:sz w:val="20"/>
              </w:rPr>
            </w:pPr>
            <w:r>
              <w:rPr>
                <w:rFonts w:hint="eastAsia"/>
                <w:b/>
                <w:sz w:val="20"/>
                <w:lang w:val="en-US" w:eastAsia="zh-CN"/>
              </w:rPr>
              <w:t>褚敏杰</w:t>
            </w:r>
          </w:p>
        </w:tc>
        <w:tc>
          <w:tcPr>
            <w:tcW w:w="1575" w:type="dxa"/>
            <w:gridSpan w:val="2"/>
            <w:vAlign w:val="center"/>
          </w:tcPr>
          <w:p>
            <w:pPr>
              <w:snapToGrid w:val="0"/>
              <w:spacing w:line="360" w:lineRule="exact"/>
              <w:jc w:val="center"/>
              <w:rPr>
                <w:b/>
                <w:sz w:val="20"/>
              </w:rPr>
            </w:pPr>
          </w:p>
        </w:tc>
        <w:tc>
          <w:tcPr>
            <w:tcW w:w="1078" w:type="dxa"/>
            <w:vAlign w:val="center"/>
          </w:tcPr>
          <w:p>
            <w:pPr>
              <w:snapToGrid w:val="0"/>
              <w:spacing w:line="360" w:lineRule="exact"/>
              <w:jc w:val="center"/>
              <w:rPr>
                <w:b/>
                <w:sz w:val="20"/>
              </w:rPr>
            </w:pPr>
          </w:p>
        </w:tc>
        <w:tc>
          <w:tcPr>
            <w:tcW w:w="1602"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rPr>
                <w:rFonts w:hint="eastAsia"/>
                <w:b/>
                <w:sz w:val="20"/>
                <w:lang w:val="en-US" w:eastAsia="zh-CN"/>
              </w:rPr>
            </w:pPr>
            <w:r>
              <w:rPr>
                <w:rFonts w:hint="eastAsia"/>
                <w:b/>
                <w:sz w:val="20"/>
                <w:lang w:val="en-US" w:eastAsia="zh-CN"/>
              </w:rPr>
              <w:t>生产：钻孔-----填炸药------爆破------铲装------运输------破碎-------球磨分级-----浮选------脱水-----入库</w:t>
            </w:r>
          </w:p>
          <w:p>
            <w:pPr>
              <w:snapToGrid w:val="0"/>
              <w:spacing w:line="280" w:lineRule="exact"/>
              <w:rPr>
                <w:b/>
                <w:sz w:val="20"/>
              </w:rPr>
            </w:pPr>
            <w:r>
              <w:rPr>
                <w:rFonts w:hint="eastAsia"/>
                <w:b/>
                <w:sz w:val="20"/>
                <w:lang w:val="en-US" w:eastAsia="zh-CN"/>
              </w:rPr>
              <w:t>销售：</w:t>
            </w:r>
            <w:r>
              <w:rPr>
                <w:rFonts w:hint="eastAsia"/>
                <w:b/>
                <w:bCs/>
                <w:color w:val="auto"/>
                <w:sz w:val="20"/>
                <w:szCs w:val="20"/>
                <w:lang w:val="en-US" w:eastAsia="zh-CN"/>
              </w:rPr>
              <w:t>合同评审——合同签订——发货——运输——收货确认</w:t>
            </w:r>
            <w:bookmarkStart w:id="2" w:name="_GoBack"/>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8"/>
            <w:vAlign w:val="center"/>
          </w:tcPr>
          <w:p>
            <w:pPr>
              <w:snapToGrid w:val="0"/>
              <w:spacing w:line="280" w:lineRule="exact"/>
              <w:jc w:val="both"/>
              <w:rPr>
                <w:b/>
                <w:sz w:val="20"/>
              </w:rPr>
            </w:pPr>
            <w:r>
              <w:rPr>
                <w:rFonts w:hint="eastAsia"/>
                <w:b/>
                <w:sz w:val="20"/>
                <w:lang w:val="en-US" w:eastAsia="zh-CN"/>
              </w:rPr>
              <w:t>爆炸、坍塌、职业伤害、溺水、火灾、触电、机械伤害等，制定管理方案和安全操作规程，每年安排第三方检测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8"/>
            <w:vAlign w:val="center"/>
          </w:tcPr>
          <w:p>
            <w:pPr>
              <w:snapToGrid w:val="0"/>
              <w:spacing w:line="280" w:lineRule="exact"/>
              <w:jc w:val="center"/>
              <w:rPr>
                <w:rFonts w:hint="default" w:eastAsia="宋体"/>
                <w:b/>
                <w:sz w:val="20"/>
                <w:lang w:val="en-US" w:eastAsia="zh-CN"/>
              </w:rPr>
            </w:pPr>
            <w:r>
              <w:rPr>
                <w:rFonts w:hint="eastAsia"/>
                <w:b/>
                <w:sz w:val="20"/>
                <w:lang w:val="en-US" w:eastAsia="zh-CN"/>
              </w:rPr>
              <w:t>职业卫生防治法、安全事故分类、安全生产法等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8"/>
            <w:vAlign w:val="center"/>
          </w:tcPr>
          <w:p>
            <w:pPr>
              <w:tabs>
                <w:tab w:val="center" w:pos="3169"/>
              </w:tabs>
              <w:spacing w:line="400" w:lineRule="exact"/>
              <w:jc w:val="left"/>
              <w:rPr>
                <w:rFonts w:hint="eastAsia"/>
                <w:b/>
                <w:bCs/>
                <w:color w:val="auto"/>
                <w:sz w:val="20"/>
                <w:szCs w:val="20"/>
                <w:lang w:val="en-US" w:eastAsia="zh-CN"/>
              </w:rPr>
            </w:pPr>
            <w:r>
              <w:rPr>
                <w:rFonts w:hint="eastAsia"/>
                <w:b/>
                <w:bCs/>
                <w:color w:val="auto"/>
                <w:sz w:val="20"/>
                <w:szCs w:val="20"/>
                <w:lang w:val="en-US" w:eastAsia="zh-CN"/>
              </w:rPr>
              <w:t>提供2021年11月22日委托江西华安安全生产检测检验中心对公司职业病危害因素检测报告，检测结论：合格</w:t>
            </w:r>
          </w:p>
          <w:p>
            <w:pPr>
              <w:snapToGrid w:val="0"/>
              <w:spacing w:line="280" w:lineRule="exact"/>
              <w:jc w:val="lef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p>
        </w:tc>
        <w:tc>
          <w:tcPr>
            <w:tcW w:w="2984" w:type="dxa"/>
            <w:gridSpan w:val="4"/>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p>
        </w:tc>
        <w:tc>
          <w:tcPr>
            <w:tcW w:w="2984" w:type="dxa"/>
            <w:gridSpan w:val="4"/>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945" w:firstLineChars="450"/>
      <w:jc w:val="left"/>
      <w:rPr>
        <w:rStyle w:val="12"/>
        <w:rFonts w:hint="default"/>
      </w:rPr>
    </w:pPr>
    <w:r>
      <w:rPr>
        <w:rStyle w:val="12"/>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900" w:firstLineChars="500"/>
      <w:jc w:val="left"/>
    </w:pPr>
    <w:r>
      <w:pict>
        <v:shape id="_x0000_s4097" o:spid="_x0000_s4097"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2"/>
        <w:rFonts w:hint="default"/>
        <w:w w:val="90"/>
      </w:rPr>
      <w:t>Beijing International Standard united Certification Co.,Ltd.</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ThlOThiN2ZiYWFhMTVmZWIyMjliZTE5YjA2MDUwOTgifQ=="/>
  </w:docVars>
  <w:rsids>
    <w:rsidRoot w:val="00000000"/>
    <w:rsid w:val="3D270945"/>
    <w:rsid w:val="63A700CD"/>
    <w:rsid w:val="788F3C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unhideWhenUsed/>
    <w:qFormat/>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Char"/>
    <w:link w:val="5"/>
    <w:qFormat/>
    <w:locked/>
    <w:uiPriority w:val="99"/>
    <w:rPr>
      <w:rFonts w:ascii="Times New Roman" w:hAnsi="Times New Roman" w:eastAsia="宋体" w:cs="Times New Roman"/>
      <w:sz w:val="18"/>
      <w:szCs w:val="18"/>
    </w:rPr>
  </w:style>
  <w:style w:type="character" w:customStyle="1" w:styleId="10">
    <w:name w:val="页眉 Char"/>
    <w:link w:val="6"/>
    <w:qFormat/>
    <w:locked/>
    <w:uiPriority w:val="99"/>
    <w:rPr>
      <w:rFonts w:ascii="Times New Roman" w:hAnsi="Times New Roman" w:eastAsia="宋体" w:cs="Times New Roman"/>
      <w:sz w:val="18"/>
      <w:szCs w:val="18"/>
    </w:rPr>
  </w:style>
  <w:style w:type="character" w:customStyle="1" w:styleId="11">
    <w:name w:val="批注框文本 Char"/>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967</Words>
  <Characters>1277</Characters>
  <Lines>2</Lines>
  <Paragraphs>1</Paragraphs>
  <TotalTime>0</TotalTime>
  <ScaleCrop>false</ScaleCrop>
  <LinksUpToDate>false</LinksUpToDate>
  <CharactersWithSpaces>1281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2022-09-08T13:32:03Z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2052-11.1.0.12313</vt:lpwstr>
  </property>
</Properties>
</file>