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河北汇洁环保设备有限公司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签订合同--需求分析--设计--生产（下料、零部件外协加工--焊接--喷漆（外包）--装配）--调试--检验--交付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145415</wp:posOffset>
                  </wp:positionV>
                  <wp:extent cx="584200" cy="425450"/>
                  <wp:effectExtent l="0" t="0" r="0" b="635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111125</wp:posOffset>
                  </wp:positionV>
                  <wp:extent cx="876300" cy="438150"/>
                  <wp:effectExtent l="0" t="0" r="0" b="6350"/>
                  <wp:wrapNone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河北汇洁环保设备有限公司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签订合同--需求分析--设计--生产（下料、零部件外协加工--焊接--喷漆（外包）--装配）--调试--检验--交付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烫伤、机械伤害、物体打击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传染病病防治法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134620</wp:posOffset>
                  </wp:positionV>
                  <wp:extent cx="584200" cy="4254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138430</wp:posOffset>
                  </wp:positionV>
                  <wp:extent cx="876300" cy="438150"/>
                  <wp:effectExtent l="0" t="0" r="0" b="635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96F2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2022-08-09T06:22:50Z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2052-11.1.0.11753</vt:lpwstr>
  </property>
</Properties>
</file>