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0949-2022-Q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黄骅市和强金属制品有限公司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2022年08月02日 上午至2022年08月02日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张星</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2020-N1QMS-1263722</w:t>
            </w:r>
          </w:p>
        </w:tc>
        <w:tc>
          <w:tcPr>
            <w:tcW w:w="1140" w:type="dxa"/>
            <w:vAlign w:val="center"/>
          </w:tcPr>
          <w:p>
            <w:pPr>
              <w:spacing w:line="240" w:lineRule="exact"/>
              <w:jc w:val="center"/>
              <w:rPr>
                <w:b/>
                <w:color w:val="000000"/>
                <w:szCs w:val="21"/>
              </w:rPr>
            </w:pPr>
            <w:r>
              <w:rPr>
                <w:b/>
                <w:color w:val="000000"/>
                <w:szCs w:val="21"/>
              </w:rPr>
              <w:t>17.12.05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highlight w:val="green"/>
                <w:lang w:val="en-US" w:eastAsia="zh-CN"/>
              </w:rPr>
            </w:pPr>
            <w:r>
              <w:rPr>
                <w:rFonts w:hint="eastAsia"/>
                <w:b/>
                <w:color w:val="000000"/>
                <w:szCs w:val="21"/>
                <w:highlight w:val="green"/>
                <w:lang w:val="en-US" w:eastAsia="zh-CN"/>
              </w:rPr>
              <w:t>/</w:t>
            </w: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黄骅市和强金属制品有限公司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河北省沧州市黄骅市齐家务乡大麻沽村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061105</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河北省沧州市黄骅市齐家务乡大麻沽村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061105</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冯裕和</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0317-5961656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冯裕和</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冯裕和</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bookmarkStart w:id="35" w:name="审核范围"/>
            <w:r>
              <w:t>金属制品（金属柜）的生产</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color w:val="000000"/>
                <w:lang w:val="en-US" w:eastAsia="zh-CN"/>
              </w:rPr>
              <w:t xml:space="preserve"> 下料- --裁剪（外协）----折弯---焊接---打磨---喷涂----组装---成品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金属制品（金属柜）的生产</w:t>
            </w:r>
          </w:p>
        </w:tc>
        <w:tc>
          <w:tcPr>
            <w:tcW w:w="2006" w:type="dxa"/>
            <w:gridSpan w:val="3"/>
            <w:vAlign w:val="center"/>
          </w:tcPr>
          <w:p>
            <w:pPr>
              <w:spacing w:line="400" w:lineRule="exact"/>
              <w:rPr>
                <w:rFonts w:ascii="宋体" w:hAnsi="宋体"/>
                <w:b/>
                <w:color w:val="000000"/>
                <w:szCs w:val="21"/>
              </w:rPr>
            </w:pPr>
            <w:bookmarkStart w:id="36" w:name="专业代码"/>
            <w:r>
              <w:t>17.12.05</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59"/>
        <w:gridCol w:w="610"/>
        <w:gridCol w:w="1820"/>
        <w:gridCol w:w="21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5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1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82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212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黄骅市和强金属制品有限公司</w:t>
            </w:r>
          </w:p>
        </w:tc>
        <w:tc>
          <w:tcPr>
            <w:tcW w:w="1759" w:type="dxa"/>
          </w:tcPr>
          <w:p>
            <w:pPr>
              <w:spacing w:before="40" w:after="40"/>
              <w:rPr>
                <w:rFonts w:eastAsia="黑体"/>
                <w:szCs w:val="21"/>
                <w:lang w:val="de-DE" w:eastAsia="ja-JP"/>
              </w:rPr>
            </w:pPr>
            <w:r>
              <w:rPr>
                <w:sz w:val="21"/>
                <w:szCs w:val="21"/>
              </w:rPr>
              <w:t>河北省沧州市黄骅市齐家务乡大麻沽村</w:t>
            </w:r>
          </w:p>
        </w:tc>
        <w:tc>
          <w:tcPr>
            <w:tcW w:w="610"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1820" w:type="dxa"/>
            <w:vAlign w:val="center"/>
          </w:tcPr>
          <w:p>
            <w:pPr>
              <w:pStyle w:val="19"/>
              <w:rPr>
                <w:rFonts w:eastAsia="黑体" w:cs="Arial"/>
                <w:sz w:val="21"/>
                <w:szCs w:val="21"/>
                <w:lang w:val="en-US" w:eastAsia="ja-JP"/>
              </w:rPr>
            </w:pPr>
            <w:r>
              <w:t>金属制品（金属柜）的生产</w:t>
            </w:r>
          </w:p>
        </w:tc>
        <w:tc>
          <w:tcPr>
            <w:tcW w:w="2121" w:type="dxa"/>
            <w:vAlign w:val="center"/>
          </w:tcPr>
          <w:p>
            <w:pPr>
              <w:spacing w:before="40" w:after="40"/>
              <w:rPr>
                <w:rFonts w:eastAsia="黑体"/>
                <w:szCs w:val="21"/>
                <w:lang w:eastAsia="ja-JP"/>
              </w:rPr>
            </w:pPr>
            <w:r>
              <w:rPr>
                <w:rFonts w:hint="eastAsia" w:ascii="宋体" w:hAnsi="宋体"/>
                <w:b/>
                <w:sz w:val="21"/>
                <w:szCs w:val="21"/>
              </w:rPr>
              <w:t>GB/T19001-2016/ISO 9001:2015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sz w:val="21"/>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河北省沧州市黄骅市齐家务乡大麻沽村</w:t>
            </w:r>
          </w:p>
        </w:tc>
        <w:tc>
          <w:tcPr>
            <w:tcW w:w="1759" w:type="dxa"/>
            <w:vAlign w:val="center"/>
          </w:tcPr>
          <w:p>
            <w:pPr>
              <w:spacing w:before="40" w:after="40"/>
              <w:rPr>
                <w:rFonts w:eastAsia="黑体"/>
                <w:szCs w:val="21"/>
                <w:lang w:eastAsia="ja-JP"/>
              </w:rPr>
            </w:pPr>
          </w:p>
        </w:tc>
        <w:tc>
          <w:tcPr>
            <w:tcW w:w="610" w:type="dxa"/>
            <w:vAlign w:val="center"/>
          </w:tcPr>
          <w:p>
            <w:pPr>
              <w:spacing w:before="40" w:after="40"/>
              <w:rPr>
                <w:rFonts w:eastAsia="黑体"/>
                <w:szCs w:val="21"/>
                <w:lang w:eastAsia="ja-JP"/>
              </w:rPr>
            </w:pPr>
          </w:p>
        </w:tc>
        <w:tc>
          <w:tcPr>
            <w:tcW w:w="1820" w:type="dxa"/>
            <w:vAlign w:val="center"/>
          </w:tcPr>
          <w:p>
            <w:pPr>
              <w:spacing w:before="40" w:after="40"/>
              <w:rPr>
                <w:rFonts w:eastAsia="黑体"/>
                <w:szCs w:val="21"/>
                <w:lang w:eastAsia="ja-JP"/>
              </w:rPr>
            </w:pPr>
          </w:p>
        </w:tc>
        <w:tc>
          <w:tcPr>
            <w:tcW w:w="212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759" w:type="dxa"/>
            <w:vAlign w:val="center"/>
          </w:tcPr>
          <w:p>
            <w:pPr>
              <w:spacing w:before="40" w:after="40"/>
              <w:rPr>
                <w:rFonts w:eastAsia="黑体"/>
                <w:szCs w:val="21"/>
                <w:lang w:eastAsia="ja-JP"/>
              </w:rPr>
            </w:pPr>
          </w:p>
        </w:tc>
        <w:tc>
          <w:tcPr>
            <w:tcW w:w="610" w:type="dxa"/>
            <w:vAlign w:val="center"/>
          </w:tcPr>
          <w:p>
            <w:pPr>
              <w:spacing w:before="40" w:after="40"/>
              <w:rPr>
                <w:rFonts w:eastAsia="黑体"/>
                <w:szCs w:val="21"/>
                <w:lang w:eastAsia="ja-JP"/>
              </w:rPr>
            </w:pPr>
          </w:p>
        </w:tc>
        <w:tc>
          <w:tcPr>
            <w:tcW w:w="1820" w:type="dxa"/>
            <w:vAlign w:val="center"/>
          </w:tcPr>
          <w:p>
            <w:pPr>
              <w:spacing w:before="40" w:after="40"/>
              <w:rPr>
                <w:rFonts w:eastAsia="黑体"/>
                <w:szCs w:val="21"/>
                <w:lang w:eastAsia="ja-JP"/>
              </w:rPr>
            </w:pPr>
          </w:p>
        </w:tc>
        <w:tc>
          <w:tcPr>
            <w:tcW w:w="212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759" w:type="dxa"/>
            <w:vAlign w:val="center"/>
          </w:tcPr>
          <w:p>
            <w:pPr>
              <w:spacing w:before="40" w:after="40"/>
              <w:rPr>
                <w:rFonts w:eastAsia="黑体"/>
                <w:szCs w:val="21"/>
                <w:lang w:eastAsia="ja-JP"/>
              </w:rPr>
            </w:pPr>
          </w:p>
        </w:tc>
        <w:tc>
          <w:tcPr>
            <w:tcW w:w="610" w:type="dxa"/>
            <w:vAlign w:val="center"/>
          </w:tcPr>
          <w:p>
            <w:pPr>
              <w:spacing w:before="40" w:after="40"/>
              <w:rPr>
                <w:rFonts w:eastAsia="黑体"/>
                <w:szCs w:val="21"/>
                <w:lang w:eastAsia="ja-JP"/>
              </w:rPr>
            </w:pPr>
          </w:p>
        </w:tc>
        <w:tc>
          <w:tcPr>
            <w:tcW w:w="1820" w:type="dxa"/>
            <w:vAlign w:val="center"/>
          </w:tcPr>
          <w:p>
            <w:pPr>
              <w:spacing w:before="40" w:after="40"/>
              <w:rPr>
                <w:rFonts w:eastAsia="黑体"/>
                <w:szCs w:val="21"/>
                <w:lang w:eastAsia="ja-JP"/>
              </w:rPr>
            </w:pPr>
          </w:p>
        </w:tc>
        <w:tc>
          <w:tcPr>
            <w:tcW w:w="212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759" w:type="dxa"/>
            <w:vAlign w:val="center"/>
          </w:tcPr>
          <w:p>
            <w:pPr>
              <w:spacing w:before="40" w:after="40"/>
              <w:rPr>
                <w:rFonts w:eastAsia="黑体"/>
                <w:szCs w:val="21"/>
                <w:lang w:eastAsia="ja-JP"/>
              </w:rPr>
            </w:pPr>
          </w:p>
        </w:tc>
        <w:tc>
          <w:tcPr>
            <w:tcW w:w="610" w:type="dxa"/>
            <w:vAlign w:val="center"/>
          </w:tcPr>
          <w:p>
            <w:pPr>
              <w:spacing w:before="40" w:after="40"/>
              <w:rPr>
                <w:rFonts w:eastAsia="黑体"/>
                <w:szCs w:val="21"/>
                <w:lang w:eastAsia="ja-JP"/>
              </w:rPr>
            </w:pPr>
          </w:p>
        </w:tc>
        <w:tc>
          <w:tcPr>
            <w:tcW w:w="1820" w:type="dxa"/>
            <w:vAlign w:val="center"/>
          </w:tcPr>
          <w:p>
            <w:pPr>
              <w:spacing w:before="40" w:after="40"/>
              <w:rPr>
                <w:rFonts w:eastAsia="黑体"/>
                <w:szCs w:val="21"/>
                <w:lang w:eastAsia="ja-JP"/>
              </w:rPr>
            </w:pPr>
          </w:p>
        </w:tc>
        <w:tc>
          <w:tcPr>
            <w:tcW w:w="212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Times New Roman"/>
                <w:b/>
                <w:color w:val="000000"/>
                <w:kern w:val="2"/>
                <w:sz w:val="24"/>
                <w:szCs w:val="24"/>
                <w:lang w:val="de-DE" w:eastAsia="zh-CN" w:bidi="ar-SA"/>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 xml:space="preserve"> </w:t>
            </w:r>
            <w:r>
              <w:rPr>
                <w:rFonts w:hint="eastAsia" w:ascii="宋体" w:hAnsi="宋体"/>
                <w:color w:val="000000"/>
                <w:spacing w:val="-10"/>
                <w:szCs w:val="21"/>
              </w:rPr>
              <w:t>□</w:t>
            </w:r>
            <w:r>
              <w:rPr>
                <w:rFonts w:hint="eastAsia" w:ascii="宋体" w:hAnsi="宋体"/>
                <w:color w:val="000000"/>
                <w:spacing w:val="-10"/>
                <w:szCs w:val="21"/>
                <w:lang w:val="de-DE"/>
              </w:rPr>
              <w:t>不</w:t>
            </w:r>
            <w:r>
              <w:rPr>
                <w:rFonts w:hint="eastAsia" w:ascii="宋体" w:hAnsi="宋体"/>
                <w:color w:val="000000"/>
                <w:spacing w:val="-10"/>
                <w:szCs w:val="21"/>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s="Times New Roman"/>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s="Times New Roman"/>
                <w:color w:val="000000"/>
                <w:szCs w:val="21"/>
                <w:lang w:val="de-DE"/>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2022</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4</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 xml:space="preserve">1 </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2022</w:t>
            </w:r>
            <w:r>
              <w:rPr>
                <w:rFonts w:hint="eastAsia" w:ascii="宋体" w:hAnsi="宋体"/>
                <w:b/>
                <w:color w:val="000000"/>
                <w:szCs w:val="21"/>
                <w:u w:val="single"/>
              </w:rPr>
              <w:t xml:space="preserve">   年</w:t>
            </w:r>
            <w:r>
              <w:rPr>
                <w:rFonts w:hint="eastAsia" w:ascii="宋体" w:hAnsi="宋体"/>
                <w:b/>
                <w:color w:val="000000"/>
                <w:szCs w:val="21"/>
                <w:u w:val="single"/>
                <w:lang w:val="en-US" w:eastAsia="zh-CN"/>
              </w:rPr>
              <w:t>7</w:t>
            </w:r>
            <w:r>
              <w:rPr>
                <w:rFonts w:hint="eastAsia" w:ascii="宋体" w:hAnsi="宋体"/>
                <w:b/>
                <w:color w:val="000000"/>
                <w:szCs w:val="21"/>
                <w:u w:val="single"/>
              </w:rPr>
              <w:t xml:space="preserve">  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2022  年 7 月 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折弯 焊接  喷涂</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焊接、喷漆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FF0000"/>
                <w:spacing w:val="-10"/>
                <w:szCs w:val="21"/>
                <w:lang w:val="en-US" w:eastAsia="zh-CN"/>
              </w:rPr>
            </w:pPr>
            <w:r>
              <w:rPr>
                <w:rFonts w:hint="eastAsia" w:ascii="宋体" w:hAnsi="宋体" w:cs="Times New Roman"/>
                <w:color w:val="000000"/>
                <w:szCs w:val="21"/>
                <w:lang w:val="en-US" w:eastAsia="zh-CN"/>
              </w:rPr>
              <w:t>运输 裁剪</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 xml:space="preserve">采购过程 </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7" w:name="二阶段审核日期"/>
            <w:r>
              <w:rPr>
                <w:rFonts w:hint="eastAsia" w:ascii="宋体"/>
                <w:b/>
                <w:color w:val="000000"/>
                <w:szCs w:val="21"/>
              </w:rPr>
              <w:t>2022-08-02</w:t>
            </w:r>
            <w:bookmarkEnd w:id="37"/>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drawing>
          <wp:inline distT="0" distB="0" distL="114300" distR="114300">
            <wp:extent cx="793750" cy="149225"/>
            <wp:effectExtent l="0" t="0" r="6350"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793750" cy="149225"/>
                    </a:xfrm>
                    <a:prstGeom prst="rect">
                      <a:avLst/>
                    </a:prstGeom>
                    <a:noFill/>
                    <a:ln>
                      <a:noFill/>
                    </a:ln>
                  </pic:spPr>
                </pic:pic>
              </a:graphicData>
            </a:graphic>
          </wp:inline>
        </w:drawing>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793750" cy="149225"/>
            <wp:effectExtent l="0" t="0" r="6350"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793750" cy="149225"/>
                    </a:xfrm>
                    <a:prstGeom prst="rect">
                      <a:avLst/>
                    </a:prstGeom>
                    <a:noFill/>
                    <a:ln>
                      <a:noFill/>
                    </a:ln>
                  </pic:spPr>
                </pic:pic>
              </a:graphicData>
            </a:graphic>
          </wp:inline>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2022.8.2</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2"/>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2"/>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bookmarkStart w:id="38" w:name="_GoBack"/>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GI4NjI5OTBmMDM1ODFlMDkzNDFlZTFiMWNhZWU5ZTMifQ=="/>
  </w:docVars>
  <w:rsids>
    <w:rsidRoot w:val="00000000"/>
    <w:rsid w:val="05705DFB"/>
    <w:rsid w:val="071D17A4"/>
    <w:rsid w:val="0906646F"/>
    <w:rsid w:val="14854BB7"/>
    <w:rsid w:val="179F6F85"/>
    <w:rsid w:val="27663E23"/>
    <w:rsid w:val="2B662A4C"/>
    <w:rsid w:val="3A5D45F1"/>
    <w:rsid w:val="64D94D23"/>
    <w:rsid w:val="769973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6"/>
    <w:qFormat/>
    <w:locked/>
    <w:uiPriority w:val="99"/>
    <w:rPr>
      <w:rFonts w:ascii="Times New Roman" w:hAnsi="Times New Roman" w:eastAsia="宋体" w:cs="Times New Roman"/>
      <w:sz w:val="18"/>
      <w:szCs w:val="18"/>
    </w:rPr>
  </w:style>
  <w:style w:type="character" w:customStyle="1" w:styleId="13">
    <w:name w:val="页眉 Char"/>
    <w:link w:val="2"/>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7</TotalTime>
  <ScaleCrop>false</ScaleCrop>
  <LinksUpToDate>false</LinksUpToDate>
  <CharactersWithSpaces>9461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企业咨询17334292415</cp:lastModifiedBy>
  <dcterms:modified xsi:type="dcterms:W3CDTF">2022-08-04T01:43:34Z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2052-11.1.0.11875</vt:lpwstr>
  </property>
</Properties>
</file>