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0876-2022-Q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邢台县润祥冶金有限公司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6"/>
        <w:rPr>
          <w:rFonts w:hint="eastAsia"/>
        </w:rPr>
      </w:pPr>
    </w:p>
    <w:p>
      <w:pPr>
        <w:pStyle w:val="16"/>
        <w:rPr>
          <w:rFonts w:hint="eastAsia"/>
        </w:rPr>
      </w:pPr>
    </w:p>
    <w:p>
      <w:pPr>
        <w:pStyle w:val="16"/>
      </w:pPr>
    </w:p>
    <w:p>
      <w:r>
        <w:rPr>
          <w:rFonts w:hint="eastAsia"/>
        </w:rPr>
        <w:t>一、受审核方基本信息</w:t>
      </w:r>
    </w:p>
    <w:tbl>
      <w:tblPr>
        <w:tblStyle w:val="14"/>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邢台县润祥冶金有限公司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邢台市信都区羊范镇龙冈经济开发区祁村村东</w:t>
            </w:r>
            <w:bookmarkEnd w:id="6"/>
          </w:p>
        </w:tc>
        <w:tc>
          <w:tcPr>
            <w:tcW w:w="1242" w:type="dxa"/>
            <w:vMerge w:val="restart"/>
            <w:vAlign w:val="center"/>
          </w:tcPr>
          <w:p>
            <w:r>
              <w:rPr>
                <w:rFonts w:hint="eastAsia"/>
              </w:rPr>
              <w:t>邮编</w:t>
            </w:r>
          </w:p>
        </w:tc>
        <w:tc>
          <w:tcPr>
            <w:tcW w:w="1771" w:type="dxa"/>
          </w:tcPr>
          <w:p>
            <w:bookmarkStart w:id="7" w:name="注册邮编"/>
            <w:r>
              <w:t>054000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邢台市信都区羊范镇龙冈经济开发区祁村村东</w:t>
            </w:r>
            <w:bookmarkEnd w:id="8"/>
          </w:p>
        </w:tc>
        <w:tc>
          <w:tcPr>
            <w:tcW w:w="1242" w:type="dxa"/>
            <w:vMerge w:val="continue"/>
            <w:vAlign w:val="center"/>
          </w:tcPr>
          <w:p/>
        </w:tc>
        <w:tc>
          <w:tcPr>
            <w:tcW w:w="1771" w:type="dxa"/>
          </w:tcPr>
          <w:p>
            <w:bookmarkStart w:id="9" w:name="办公邮编"/>
            <w:r>
              <w:t>054000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张建峰</w:t>
            </w:r>
            <w:bookmarkEnd w:id="10"/>
          </w:p>
        </w:tc>
        <w:tc>
          <w:tcPr>
            <w:tcW w:w="1313" w:type="dxa"/>
            <w:vAlign w:val="center"/>
          </w:tcPr>
          <w:p>
            <w:r>
              <w:rPr>
                <w:rFonts w:hint="eastAsia"/>
              </w:rPr>
              <w:t>电话.</w:t>
            </w:r>
          </w:p>
        </w:tc>
        <w:tc>
          <w:tcPr>
            <w:tcW w:w="2180" w:type="dxa"/>
            <w:vAlign w:val="center"/>
          </w:tcPr>
          <w:p>
            <w:bookmarkStart w:id="11" w:name="联系人电话"/>
            <w:r>
              <w:t>13722927596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郝江敏</w:t>
            </w:r>
            <w:bookmarkEnd w:id="13"/>
          </w:p>
        </w:tc>
        <w:tc>
          <w:tcPr>
            <w:tcW w:w="1313" w:type="dxa"/>
            <w:vAlign w:val="center"/>
          </w:tcPr>
          <w:p>
            <w:r>
              <w:rPr>
                <w:rFonts w:hint="eastAsia"/>
              </w:rPr>
              <w:t>管理者代表</w:t>
            </w:r>
          </w:p>
        </w:tc>
        <w:tc>
          <w:tcPr>
            <w:tcW w:w="2180" w:type="dxa"/>
          </w:tcPr>
          <w:p>
            <w:bookmarkStart w:id="14" w:name="管理者代表"/>
            <w:r>
              <w:t>张建峰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1、不定型耐火材料（中间包干式振动料、钢包浇注料）、改制剂的加工流程：</w:t>
            </w:r>
          </w:p>
          <w:p>
            <w:pPr>
              <w:ind w:firstLine="420" w:firstLineChars="200"/>
              <w:rPr>
                <w:rFonts w:hint="eastAsia" w:ascii="宋体" w:hAnsi="宋体" w:eastAsia="宋体" w:cs="宋体"/>
                <w:color w:val="auto"/>
                <w:sz w:val="21"/>
                <w:szCs w:val="21"/>
                <w:lang w:val="en-US" w:eastAsia="zh-CN"/>
              </w:rPr>
            </w:pPr>
            <w:r>
              <w:rPr>
                <w:sz w:val="21"/>
                <w:szCs w:val="21"/>
              </w:rPr>
              <w:drawing>
                <wp:inline distT="0" distB="0" distL="114300" distR="114300">
                  <wp:extent cx="4110990" cy="1280160"/>
                  <wp:effectExtent l="0" t="0" r="381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10990" cy="1280160"/>
                          </a:xfrm>
                          <a:prstGeom prst="rect">
                            <a:avLst/>
                          </a:prstGeom>
                          <a:noFill/>
                          <a:ln w="9525">
                            <a:noFill/>
                          </a:ln>
                        </pic:spPr>
                      </pic:pic>
                    </a:graphicData>
                  </a:graphic>
                </wp:inline>
              </w:drawing>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2、冶金辅料（增碳剂）的销售流程：</w:t>
            </w:r>
          </w:p>
          <w:p>
            <w:r>
              <w:rPr>
                <w:rFonts w:hint="eastAsia" w:ascii="宋体" w:hAnsi="宋体" w:eastAsia="宋体" w:cs="Times New Roman"/>
                <w:b w:val="0"/>
                <w:bCs w:val="0"/>
                <w:color w:val="auto"/>
                <w:sz w:val="21"/>
                <w:szCs w:val="21"/>
                <w:lang w:val="en-US" w:eastAsia="zh-CN"/>
              </w:rPr>
              <w:t>顾客需求→询价、报价→签订销售合同→采购物资→进货验收→产品发货→客户验收→货款结算→客户回访</w:t>
            </w:r>
          </w:p>
        </w:tc>
      </w:tr>
    </w:tbl>
    <w:p/>
    <w:p>
      <w:r>
        <w:rPr>
          <w:rFonts w:hint="eastAsia"/>
        </w:rPr>
        <w:t>二、本次审核信息</w:t>
      </w:r>
    </w:p>
    <w:tbl>
      <w:tblPr>
        <w:tblStyle w:val="14"/>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2022年08月07日 上午至2022年08月07日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94"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b/>
                <w:color w:val="000000"/>
                <w:szCs w:val="21"/>
              </w:rPr>
              <w:t>邢台市信都区羊范镇龙冈经济开发区祁村村东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不定型耐火材料（中间包干式振动料、钢包浇注料）的加工，改制剂的加工；;冶金辅料（增碳剂）的销售</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12.05.04;15.02.00;29.11.05</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4"/>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邢台县润祥冶金有限公司</w:t>
            </w:r>
          </w:p>
          <w:p>
            <w:pPr>
              <w:pStyle w:val="2"/>
              <w:ind w:left="0" w:leftChars="0" w:right="0" w:rightChars="0" w:firstLine="420" w:firstLineChars="200"/>
              <w:rPr>
                <w:lang w:val="de-DE" w:eastAsia="ja-JP"/>
              </w:rPr>
            </w:pPr>
            <w:r>
              <w:rPr>
                <w:sz w:val="21"/>
                <w:szCs w:val="21"/>
              </w:rPr>
              <w:t>邢台市信都区羊范镇龙冈经济开发区祁村村东</w:t>
            </w:r>
          </w:p>
        </w:tc>
        <w:tc>
          <w:tcPr>
            <w:tcW w:w="2267" w:type="dxa"/>
            <w:vAlign w:val="top"/>
          </w:tcPr>
          <w:p>
            <w:pPr>
              <w:spacing w:before="40" w:after="40"/>
              <w:rPr>
                <w:lang w:val="de-DE" w:eastAsia="ja-JP"/>
              </w:rPr>
            </w:pPr>
            <w:r>
              <w:rPr>
                <w:sz w:val="21"/>
                <w:szCs w:val="21"/>
              </w:rPr>
              <w:t>邢台市信都区羊范镇龙冈经济开发区祁村村东</w:t>
            </w:r>
          </w:p>
        </w:tc>
        <w:tc>
          <w:tcPr>
            <w:tcW w:w="571" w:type="dxa"/>
            <w:vAlign w:val="center"/>
          </w:tcPr>
          <w:p>
            <w:pPr>
              <w:spacing w:before="40" w:after="40"/>
              <w:rPr>
                <w:lang w:eastAsia="ja-JP"/>
              </w:rPr>
            </w:pPr>
            <w:r>
              <w:rPr>
                <w:rFonts w:hint="eastAsia" w:eastAsia="黑体"/>
                <w:szCs w:val="21"/>
                <w:lang w:val="en-US" w:eastAsia="zh-CN"/>
              </w:rPr>
              <w:t>45</w:t>
            </w:r>
          </w:p>
        </w:tc>
        <w:tc>
          <w:tcPr>
            <w:tcW w:w="2803" w:type="dxa"/>
            <w:vAlign w:val="center"/>
          </w:tcPr>
          <w:p>
            <w:pPr>
              <w:pStyle w:val="25"/>
              <w:rPr>
                <w:lang w:eastAsia="ja-JP"/>
              </w:rPr>
            </w:pPr>
            <w:r>
              <w:t>不定型耐火材料（中间包干式振动料、钢包浇注料）的加工，改制剂的加工；;冶金辅料（增碳剂）的销售</w:t>
            </w:r>
          </w:p>
        </w:tc>
        <w:tc>
          <w:tcPr>
            <w:tcW w:w="669" w:type="dxa"/>
            <w:vAlign w:val="center"/>
          </w:tcPr>
          <w:p>
            <w:pPr>
              <w:spacing w:before="40" w:after="40"/>
              <w:rPr>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5"/>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4"/>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15.02.00,29.11.05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韩俊杰</w:t>
            </w:r>
          </w:p>
        </w:tc>
        <w:tc>
          <w:tcPr>
            <w:tcW w:w="1089" w:type="dxa"/>
            <w:vAlign w:val="center"/>
          </w:tcPr>
          <w:p>
            <w:r>
              <w:t>组员</w:t>
            </w:r>
          </w:p>
        </w:tc>
        <w:tc>
          <w:tcPr>
            <w:tcW w:w="711" w:type="dxa"/>
            <w:vAlign w:val="center"/>
          </w:tcPr>
          <w:p>
            <w:r>
              <w:t>女</w:t>
            </w:r>
          </w:p>
        </w:tc>
        <w:tc>
          <w:tcPr>
            <w:tcW w:w="3870" w:type="dxa"/>
            <w:vAlign w:val="center"/>
          </w:tcPr>
          <w:p>
            <w:r>
              <w:t>2021-N1QMS-1026038</w:t>
            </w:r>
          </w:p>
        </w:tc>
        <w:tc>
          <w:tcPr>
            <w:tcW w:w="2179" w:type="dxa"/>
            <w:vAlign w:val="center"/>
          </w:tcPr>
          <w:p>
            <w:r>
              <w:t>12.05.04,29.11.05</w:t>
            </w:r>
          </w:p>
        </w:tc>
      </w:tr>
      <w:tr>
        <w:tblPrEx>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4"/>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QMS □EcMS□EMS□OHSMS）</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体系建立以来□定期（近一年）□其他</w:t>
            </w:r>
          </w:p>
        </w:tc>
      </w:tr>
    </w:tbl>
    <w:tbl>
      <w:tblPr>
        <w:tblStyle w:val="14"/>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文审问题已整改，一阶段未提问题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5"/>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5"/>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不大</w:t>
      </w:r>
    </w:p>
    <w:p/>
    <w:p>
      <w:r>
        <w:rPr>
          <w:rFonts w:hint="eastAsia"/>
        </w:rPr>
        <w:t>十三、审核组推荐意见:</w:t>
      </w:r>
    </w:p>
    <w:tbl>
      <w:tblPr>
        <w:tblStyle w:val="14"/>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在完成纠正措施后推荐认证注册(</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4"/>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98500" cy="2730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98500" cy="2730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2022.8.7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rPr>
          <w:shd w:val="clear" w:color="FFFFFF" w:fill="D9D9D9"/>
        </w:rPr>
      </w:pPr>
      <w:r>
        <w:rPr>
          <w:shd w:val="clear" w:color="FFFFFF" w:fill="D9D9D9"/>
        </w:rPr>
        <w:t>附件ISO 9001:2015 (若不是ISO 9001:2015审核请删除)</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ascii="宋体" w:hAnsi="宋体" w:eastAsia="宋体" w:cs="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40" w:lineRule="exact"/>
              <w:jc w:val="left"/>
              <w:rPr>
                <w:u w:val="single"/>
              </w:rPr>
            </w:pPr>
            <w:r>
              <w:rPr>
                <w:rFonts w:hint="eastAsia" w:ascii="楷体" w:hAnsi="楷体" w:eastAsia="楷体" w:cs="宋体"/>
                <w:szCs w:val="21"/>
              </w:rPr>
              <w:t>质量第一，顾客至上；诚信为本，持续改进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szCs w:val="21"/>
                    </w:rPr>
                    <w:t>法律、法规内容的变化</w:t>
                  </w:r>
                </w:p>
              </w:tc>
              <w:tc>
                <w:tcPr>
                  <w:tcW w:w="3965" w:type="dxa"/>
                  <w:vAlign w:val="top"/>
                </w:tcPr>
                <w:p>
                  <w:pPr>
                    <w:shd w:val="clear" w:color="auto" w:fill="C7DAF1" w:themeFill="text2" w:themeFillTint="32"/>
                  </w:pPr>
                  <w:r>
                    <w:rPr>
                      <w:rFonts w:hint="eastAsia"/>
                    </w:rPr>
                    <w:t>对适用法规充分收集评估，并转化为公司制度执行，符合新法规要求</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szCs w:val="21"/>
                    </w:rPr>
                    <w:t>监管部门的监管力度</w:t>
                  </w:r>
                </w:p>
              </w:tc>
              <w:tc>
                <w:tcPr>
                  <w:tcW w:w="3965" w:type="dxa"/>
                  <w:vAlign w:val="top"/>
                </w:tcPr>
                <w:p>
                  <w:pPr>
                    <w:shd w:val="clear" w:color="auto" w:fill="C7DAF1" w:themeFill="text2" w:themeFillTint="32"/>
                  </w:pPr>
                  <w:r>
                    <w:rPr>
                      <w:rFonts w:hint="eastAsia"/>
                    </w:rPr>
                    <w:t>各级部门严格按照公司的规章制度开展相关工作</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szCs w:val="21"/>
                    </w:rPr>
                    <w:t>供应商的要求</w:t>
                  </w:r>
                </w:p>
              </w:tc>
              <w:tc>
                <w:tcPr>
                  <w:tcW w:w="3965" w:type="dxa"/>
                  <w:vAlign w:val="top"/>
                </w:tcPr>
                <w:p>
                  <w:pPr>
                    <w:shd w:val="clear" w:color="auto" w:fill="C7DAF1" w:themeFill="text2" w:themeFillTint="32"/>
                  </w:pPr>
                  <w:r>
                    <w:rPr>
                      <w:rFonts w:hint="eastAsia"/>
                    </w:rPr>
                    <w:t>对公司影响较大的大宗原材料做好年度采购计划</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szCs w:val="21"/>
                    </w:rPr>
                    <w:t>客户的需求</w:t>
                  </w:r>
                </w:p>
              </w:tc>
              <w:tc>
                <w:tcPr>
                  <w:tcW w:w="3965" w:type="dxa"/>
                  <w:vAlign w:val="top"/>
                </w:tcPr>
                <w:p>
                  <w:pPr>
                    <w:shd w:val="clear" w:color="auto" w:fill="C7DAF1" w:themeFill="text2" w:themeFillTint="32"/>
                  </w:pPr>
                  <w:r>
                    <w:rPr>
                      <w:rFonts w:hint="eastAsia"/>
                    </w:rPr>
                    <w:t>加强与客户进行质量标准制定的沟通，统一双方的标准和检测方法</w:t>
                  </w:r>
                </w:p>
              </w:tc>
              <w:tc>
                <w:tcPr>
                  <w:tcW w:w="1717" w:type="dxa"/>
                  <w:vAlign w:val="top"/>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4"/>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jc w:val="left"/>
                  </w:pPr>
                  <w:r>
                    <w:rPr>
                      <w:rFonts w:hint="eastAsia" w:ascii="宋体" w:hAnsi="宋体" w:eastAsia="宋体" w:cs="宋体"/>
                      <w:sz w:val="24"/>
                      <w:szCs w:val="24"/>
                      <w:lang w:val="en-US" w:eastAsia="zh-CN"/>
                    </w:rPr>
                    <w:t>产品加工合格率≥98%</w:t>
                  </w:r>
                </w:p>
              </w:tc>
              <w:tc>
                <w:tcPr>
                  <w:tcW w:w="3136" w:type="dxa"/>
                  <w:shd w:val="clear" w:color="auto" w:fill="auto"/>
                  <w:vAlign w:val="top"/>
                </w:tcPr>
                <w:p>
                  <w:pPr>
                    <w:widowControl/>
                    <w:spacing w:before="40"/>
                    <w:jc w:val="left"/>
                    <w:rPr>
                      <w:lang w:val="en-GB"/>
                    </w:rPr>
                  </w:pPr>
                  <w:r>
                    <w:rPr>
                      <w:rFonts w:hint="eastAsia" w:ascii="宋体" w:hAnsi="宋体" w:eastAsia="宋体" w:cs="Times New Roman"/>
                      <w:bCs/>
                      <w:sz w:val="24"/>
                      <w:szCs w:val="24"/>
                      <w:lang w:val="en-US" w:eastAsia="zh-CN"/>
                    </w:rPr>
                    <w:t xml:space="preserve"> </w:t>
                  </w:r>
                  <w:r>
                    <w:rPr>
                      <w:rFonts w:hint="eastAsia" w:ascii="宋体" w:hAnsi="宋体"/>
                      <w:bCs/>
                      <w:sz w:val="24"/>
                      <w:szCs w:val="24"/>
                    </w:rPr>
                    <w:t>（合格</w:t>
                  </w:r>
                  <w:r>
                    <w:rPr>
                      <w:rFonts w:hint="eastAsia" w:ascii="宋体" w:hAnsi="宋体"/>
                      <w:bCs/>
                      <w:sz w:val="24"/>
                      <w:szCs w:val="24"/>
                      <w:lang w:val="en-US" w:eastAsia="zh-CN"/>
                    </w:rPr>
                    <w:t>次</w:t>
                  </w:r>
                  <w:r>
                    <w:rPr>
                      <w:rFonts w:hint="eastAsia" w:ascii="宋体" w:hAnsi="宋体"/>
                      <w:bCs/>
                      <w:sz w:val="24"/>
                      <w:szCs w:val="24"/>
                    </w:rPr>
                    <w:t>数/</w:t>
                  </w:r>
                  <w:r>
                    <w:rPr>
                      <w:rFonts w:hint="eastAsia" w:ascii="宋体" w:hAnsi="宋体"/>
                      <w:sz w:val="24"/>
                      <w:szCs w:val="24"/>
                    </w:rPr>
                    <w:t>总数</w:t>
                  </w:r>
                  <w:r>
                    <w:rPr>
                      <w:rFonts w:hint="eastAsia" w:ascii="宋体" w:hAnsi="宋体"/>
                      <w:bCs/>
                      <w:sz w:val="24"/>
                      <w:szCs w:val="24"/>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综合生产部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jc w:val="left"/>
                  </w:pPr>
                  <w:r>
                    <w:rPr>
                      <w:rFonts w:hint="eastAsia" w:ascii="宋体" w:hAnsi="宋体" w:eastAsia="宋体" w:cs="宋体"/>
                      <w:sz w:val="24"/>
                      <w:szCs w:val="24"/>
                      <w:lang w:eastAsia="zh-CN"/>
                    </w:rPr>
                    <w:t>顾客满意度≥9</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p>
              </w:tc>
              <w:tc>
                <w:tcPr>
                  <w:tcW w:w="3136" w:type="dxa"/>
                  <w:shd w:val="clear" w:color="auto" w:fill="auto"/>
                  <w:vAlign w:val="top"/>
                </w:tcPr>
                <w:p>
                  <w:pPr>
                    <w:spacing w:line="440" w:lineRule="exact"/>
                    <w:ind w:firstLine="480" w:firstLineChars="200"/>
                    <w:rPr>
                      <w:rFonts w:hint="eastAsia" w:ascii="宋体" w:hAnsi="宋体"/>
                      <w:sz w:val="24"/>
                      <w:szCs w:val="24"/>
                    </w:rPr>
                  </w:pPr>
                  <w:r>
                    <w:rPr>
                      <w:rFonts w:hint="eastAsia" w:ascii="宋体" w:hAnsi="宋体"/>
                      <w:sz w:val="24"/>
                      <w:szCs w:val="24"/>
                    </w:rPr>
                    <w:t>顾客满意率从以下5个方面进行测量：</w:t>
                  </w:r>
                </w:p>
                <w:p>
                  <w:pPr>
                    <w:widowControl/>
                    <w:spacing w:before="40"/>
                    <w:jc w:val="left"/>
                    <w:rPr>
                      <w:rFonts w:ascii="宋体" w:hAnsi="宋体"/>
                    </w:rPr>
                  </w:pPr>
                  <w:r>
                    <w:rPr>
                      <w:rFonts w:hint="eastAsia" w:ascii="宋体" w:hAnsi="宋体"/>
                      <w:sz w:val="24"/>
                      <w:szCs w:val="24"/>
                    </w:rPr>
                    <w:t>a.产品质量 b.产品价格 c.售后服务d.交货期 e.诚信服务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6000平米</w:t>
            </w:r>
            <w:r>
              <w:rPr>
                <w:rFonts w:hint="eastAsia"/>
              </w:rPr>
              <w:t>；生产车间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ascii="楷体" w:hAnsi="楷体" w:eastAsia="楷体" w:cs="宋体"/>
                <w:szCs w:val="21"/>
              </w:rPr>
              <w:t>颚式破碎机、1#提升机、圆锥破碎机、2#提升机、振动筛、1#输送机等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val="en-US" w:eastAsia="zh-CN"/>
              </w:rPr>
              <w:t xml:space="preserve"> </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楷体" w:hAnsi="楷体" w:eastAsia="楷体" w:cs="宋体"/>
                <w:szCs w:val="21"/>
              </w:rPr>
              <w:t>智能马弗炉、电子天平、水泥胶砂振动台、水泥胶砂搅拌机、电动抗折试验机、配料秤等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lang w:val="en-US" w:eastAsia="zh-CN"/>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val="en-US" w:eastAsia="zh-CN"/>
              </w:rPr>
              <w:t xml:space="preserve"> </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t>不定型耐火材料（中间包干式振动料、钢包浇注料）的加工，改制剂的加工</w:t>
                  </w:r>
                </w:p>
              </w:tc>
              <w:tc>
                <w:tcPr>
                  <w:tcW w:w="3665" w:type="dxa"/>
                </w:tcPr>
                <w:p>
                  <w:pPr>
                    <w:shd w:val="clear" w:color="auto" w:fill="C7DAF1" w:themeFill="text2" w:themeFillTint="32"/>
                    <w:jc w:val="left"/>
                  </w:pPr>
                  <w:r>
                    <w:rPr>
                      <w:rFonts w:hint="eastAsia"/>
                      <w:b/>
                      <w:sz w:val="20"/>
                      <w:lang w:val="en-US" w:eastAsia="zh-CN"/>
                    </w:rPr>
                    <w:t>筛分、配比、混合、搅拌、销售</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配比、压力等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eastAsia="宋体" w:cs="宋体"/>
                      <w:color w:val="auto"/>
                      <w:sz w:val="21"/>
                      <w:szCs w:val="21"/>
                      <w:lang w:val="en-US" w:eastAsia="zh-CN"/>
                    </w:rPr>
                    <w:t>冶金辅料（增碳剂）的销售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组织货源、销售</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配料、销售</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bookmarkStart w:id="28" w:name="_GoBack"/>
            <w:bookmarkEnd w:id="28"/>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華康楷書體W3">
    <w:altName w:val="宋体"/>
    <w:panose1 w:val="00000000000000000000"/>
    <w:charset w:val="88"/>
    <w:family w:val="modern"/>
    <w:pitch w:val="default"/>
    <w:sig w:usb0="00000000" w:usb1="00000000" w:usb2="00000010" w:usb3="00000000" w:csb0="0010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姚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Helvetica Neue">
    <w:altName w:val="Segoe Print"/>
    <w:panose1 w:val="00000000000000000000"/>
    <w:charset w:val="00"/>
    <w:family w:val="auto"/>
    <w:pitch w:val="default"/>
    <w:sig w:usb0="00000000" w:usb1="00000000" w:usb2="00000000" w:usb3="00000000" w:csb0="00000000" w:csb1="0000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Damascus">
    <w:altName w:val="Courier New"/>
    <w:panose1 w:val="00000400000000000000"/>
    <w:charset w:val="00"/>
    <w:family w:val="auto"/>
    <w:pitch w:val="default"/>
    <w:sig w:usb0="00000000" w:usb1="00000000" w:usb2="14000008" w:usb3="00000000" w:csb0="00000001" w:csb1="00000000"/>
  </w:font>
  <w:font w:name="New Gulim">
    <w:altName w:val="Malgun Gothic"/>
    <w:panose1 w:val="00000000000000000000"/>
    <w:charset w:val="81"/>
    <w:family w:val="roman"/>
    <w:pitch w:val="default"/>
    <w:sig w:usb0="00000000" w:usb1="00000000" w:usb2="00000030" w:usb3="00000000" w:csb0="0008009F"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9"/>
      <w:pBdr>
        <w:bottom w:val="single" w:color="auto" w:sz="4" w:space="1"/>
      </w:pBdr>
      <w:spacing w:line="320" w:lineRule="exact"/>
      <w:ind w:firstLine="756" w:firstLineChars="400"/>
      <w:jc w:val="left"/>
      <w:rPr>
        <w:rStyle w:val="22"/>
        <w:rFonts w:hint="default"/>
      </w:rPr>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9016DA"/>
    <w:rsid w:val="44CA3119"/>
    <w:rsid w:val="51EF0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2">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uiPriority w:val="99"/>
    <w:pPr>
      <w:keepNext w:val="0"/>
      <w:keepLines w:val="0"/>
      <w:widowControl w:val="0"/>
      <w:suppressLineNumbers w:val="0"/>
      <w:tabs>
        <w:tab w:val="left" w:pos="1560"/>
        <w:tab w:val="left" w:pos="1985"/>
      </w:tabs>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unhideWhenUsed/>
    <w:qFormat/>
    <w:uiPriority w:val="99"/>
    <w:pPr>
      <w:tabs>
        <w:tab w:val="left" w:pos="1560"/>
        <w:tab w:val="left" w:pos="1985"/>
      </w:tabs>
      <w:ind w:left="1560" w:hanging="1560"/>
      <w:jc w:val="left"/>
    </w:pPr>
    <w:rPr>
      <w:lang w:eastAsia="ja-JP"/>
    </w:rPr>
  </w:style>
  <w:style w:type="paragraph" w:styleId="4">
    <w:name w:val="toc 3"/>
    <w:basedOn w:val="1"/>
    <w:next w:val="1"/>
    <w:unhideWhenUsed/>
    <w:uiPriority w:val="39"/>
    <w:pPr>
      <w:ind w:left="420"/>
      <w:jc w:val="left"/>
    </w:pPr>
    <w:rPr>
      <w:i/>
      <w:iCs/>
      <w:sz w:val="20"/>
      <w:szCs w:val="20"/>
    </w:rPr>
  </w:style>
  <w:style w:type="paragraph" w:styleId="6">
    <w:name w:val="Body Text"/>
    <w:basedOn w:val="1"/>
    <w:next w:val="5"/>
    <w:unhideWhenUsed/>
    <w:uiPriority w:val="99"/>
    <w:pPr>
      <w:adjustRightInd w:val="0"/>
      <w:spacing w:line="312" w:lineRule="atLeast"/>
      <w:jc w:val="right"/>
    </w:pPr>
  </w:style>
  <w:style w:type="paragraph" w:styleId="7">
    <w:name w:val="Balloon Text"/>
    <w:basedOn w:val="1"/>
    <w:link w:val="20"/>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Hyperlink"/>
    <w:basedOn w:val="12"/>
    <w:unhideWhenUsed/>
    <w:qFormat/>
    <w:uiPriority w:val="99"/>
    <w:rPr>
      <w:color w:val="0000FF"/>
      <w:u w:val="single"/>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表格文字"/>
    <w:basedOn w:val="1"/>
    <w:qFormat/>
    <w:uiPriority w:val="0"/>
    <w:pPr>
      <w:spacing w:before="25" w:after="25"/>
    </w:pPr>
    <w:rPr>
      <w:bCs/>
      <w:spacing w:val="10"/>
    </w:rPr>
  </w:style>
  <w:style w:type="paragraph" w:customStyle="1" w:styleId="17">
    <w:name w:val="List Paragraph"/>
    <w:basedOn w:val="1"/>
    <w:qFormat/>
    <w:uiPriority w:val="34"/>
    <w:pPr>
      <w:ind w:firstLine="420" w:firstLineChars="200"/>
    </w:pPr>
  </w:style>
  <w:style w:type="character" w:customStyle="1" w:styleId="18">
    <w:name w:val="页眉 Char1"/>
    <w:basedOn w:val="12"/>
    <w:link w:val="9"/>
    <w:qFormat/>
    <w:uiPriority w:val="99"/>
    <w:rPr>
      <w:rFonts w:ascii="Times New Roman" w:hAnsi="Times New Roman" w:eastAsia="宋体" w:cs="Times New Roman"/>
      <w:sz w:val="18"/>
      <w:szCs w:val="18"/>
    </w:rPr>
  </w:style>
  <w:style w:type="character" w:customStyle="1" w:styleId="19">
    <w:name w:val="页脚 Char"/>
    <w:basedOn w:val="12"/>
    <w:link w:val="8"/>
    <w:qFormat/>
    <w:uiPriority w:val="99"/>
    <w:rPr>
      <w:rFonts w:ascii="Times New Roman" w:hAnsi="Times New Roman" w:eastAsia="宋体" w:cs="Times New Roman"/>
      <w:sz w:val="18"/>
      <w:szCs w:val="18"/>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2022-08-08T02:21:01Z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