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ascii="方正仿宋简体" w:hAnsi="Times New Roman" w:eastAsia="方正仿宋简体" w:cs="Times New Roman"/>
                <w:b/>
              </w:rPr>
              <w:t>四川柒鑫物流有</w:t>
            </w:r>
            <w:r>
              <w:rPr>
                <w:rFonts w:ascii="方正仿宋简体" w:hAnsi="Times New Roman" w:eastAsia="方正仿宋简体" w:cs="Times New Roman"/>
                <w:b/>
              </w:rPr>
              <w:t>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雷德才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368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行政部</w:t>
            </w:r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2022.08.10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远程查见，外来文件清单未及时进行更新，还保留了中华人民共和国合同法等已废止的法律法规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在创建和更新成文信息时，组织应确保适当的：c）评审和批准，以保持适宜性和充分性。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20" w:name="_GoBack"/>
            <w:bookmarkEnd w:id="20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19D75E59"/>
    <w:rsid w:val="3828316D"/>
    <w:rsid w:val="45B44292"/>
    <w:rsid w:val="7CD95DB0"/>
    <w:rsid w:val="7E4633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424</Words>
  <Characters>599</Characters>
  <Lines>6</Lines>
  <Paragraphs>1</Paragraphs>
  <TotalTime>1</TotalTime>
  <ScaleCrop>false</ScaleCrop>
  <LinksUpToDate>false</LinksUpToDate>
  <CharactersWithSpaces>861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2022-08-03T08:34:53Z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