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85"/>
        <w:gridCol w:w="1899"/>
        <w:gridCol w:w="101"/>
        <w:gridCol w:w="142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Times New Roman" w:hAnsi="Times New Roman" w:eastAsia="宋体" w:cs="Times New Roman"/>
                <w:sz w:val="20"/>
              </w:rPr>
              <w:t>重庆新阳地理信息有限公司</w:t>
            </w:r>
            <w:bookmarkEnd w:id="1"/>
          </w:p>
        </w:tc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34.01.01;34.01.02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资质范围内的工程测量；土地利用总体规划及专项规划的编制、设计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64135</wp:posOffset>
                  </wp:positionV>
                  <wp:extent cx="620395" cy="313055"/>
                  <wp:effectExtent l="0" t="0" r="1905" b="4445"/>
                  <wp:wrapNone/>
                  <wp:docPr id="5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95250</wp:posOffset>
                  </wp:positionV>
                  <wp:extent cx="656590" cy="321310"/>
                  <wp:effectExtent l="0" t="0" r="3810" b="8890"/>
                  <wp:wrapNone/>
                  <wp:docPr id="4" name="图片 5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工程测量流程：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接任务----基础资料收集---开始作业----报告编写----质量检查-------项目最终成果备份与提交。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测绘为关键过程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特殊过程也是需要确认过程：测量过程。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规划流程：接任务---资料收集---基础分析与评价---专题研究---方案编制----调整完善----成果提交，审批----提交最终规划成果。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方案编制阶段为关键过程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关键过程：测绘、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编制过程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过程的控制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：测量-编制报告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报告工序，依据检验规程进行检测和处理数据。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《全球定位系统（GPS）测量规范》GB/T18314—2016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《1:500 1:1000 1:2000地形图航空摄影测量外业规范》GB 7931--2015、《1:500 1:1000 1:2000比例尺地形图航空摄影规范》GB 6962--2005、《基础地理信息应急制图规范》CH/T 4018-2013、《城市地理信息系统设计规范》GB/T 18578-2008、《重庆市城乡规划基础空间数据要求》DB50/T 592-2015、《水土保持规划编制规范》SL/T 335-2014、《测绘技术设计规定》CH/T1004—2005; 《测绘产品检查验收规定》GH1002-1995、《测绘产品质量品评定标准》GH1003-1995、《光电测距仪检定规范》CH 8001-1991、《基础地理信息数字产品数据文件命名规则》CH/T 1005-2000、《测绘技术总结编写规定》CH/T 1001-2005、《测绘成果质量检验报告编写基本规定》CH/Z 1001-2007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及客户技术要求等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检测项目按规程执行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147955</wp:posOffset>
                  </wp:positionV>
                  <wp:extent cx="498475" cy="377190"/>
                  <wp:effectExtent l="0" t="0" r="9525" b="381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255905</wp:posOffset>
                  </wp:positionV>
                  <wp:extent cx="584835" cy="295275"/>
                  <wp:effectExtent l="0" t="0" r="12065" b="952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2" w:name="_GoBack"/>
      <w:bookmarkEnd w:id="2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282"/>
        <w:gridCol w:w="132"/>
        <w:gridCol w:w="897"/>
        <w:gridCol w:w="392"/>
        <w:gridCol w:w="1695"/>
        <w:gridCol w:w="351"/>
        <w:gridCol w:w="1290"/>
        <w:gridCol w:w="1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868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重庆新阳地理信息有限公司</w:t>
            </w:r>
          </w:p>
        </w:tc>
        <w:tc>
          <w:tcPr>
            <w:tcW w:w="12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6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34.01.01;34.01.02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资质范围内的工程测量；土地利用总体规划及专项规划的编制、设计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122555</wp:posOffset>
                  </wp:positionV>
                  <wp:extent cx="656590" cy="321310"/>
                  <wp:effectExtent l="0" t="0" r="3810" b="8890"/>
                  <wp:wrapNone/>
                  <wp:docPr id="6" name="图片 5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工程测量流程：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接任务----基础资料收集---开始作业----报告编写----质量检查-------项目最终成果备份与提交。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测绘为关键过程，特殊过程也是需要确认过程：测量过程。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规划流程：接任务---资料收集---基础分析与评价---专题研究---方案编制----调整完善----成果提交，审批----提交最终规划成果。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方案编制阶段为关键过程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重要环境因素：1）固废排放；2）潜在火灾。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控制措施：环境目标管理方案；运行控制及应急预案。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《中华人民共和国环境保护法》、《中华人民共和国环境影响评价法》、《中华人民共和国节约能源法》、《大气污染物综合排放标准》、《污水综合排放标准》、污水排入城镇下水道水质标准（GB/T 31962-2015）等。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211455</wp:posOffset>
                  </wp:positionV>
                  <wp:extent cx="584835" cy="295275"/>
                  <wp:effectExtent l="0" t="0" r="12065" b="9525"/>
                  <wp:wrapNone/>
                  <wp:docPr id="1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897255</wp:posOffset>
                  </wp:positionV>
                  <wp:extent cx="584835" cy="295275"/>
                  <wp:effectExtent l="0" t="0" r="12065" b="9525"/>
                  <wp:wrapNone/>
                  <wp:docPr id="10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0201E6D"/>
    <w:rsid w:val="58896078"/>
    <w:rsid w:val="6D451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1134</Words>
  <Characters>1457</Characters>
  <Lines>2</Lines>
  <Paragraphs>1</Paragraphs>
  <TotalTime>2</TotalTime>
  <ScaleCrop>false</ScaleCrop>
  <LinksUpToDate>false</LinksUpToDate>
  <CharactersWithSpaces>1478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2022-07-31T08:03:46Z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