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735" cy="9356725"/>
            <wp:effectExtent l="0" t="0" r="12065" b="3175"/>
            <wp:docPr id="1" name="图片 1" descr="新文档 2022-08-04 13.31.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4 13.31.0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35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3"/>
        <w:gridCol w:w="636"/>
        <w:gridCol w:w="321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衡水亚通工程橡胶有限公司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河北省衡水滨湖新区彭杜乡赵辛庄村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河北省衡水滨湖新区彭杜乡赵辛庄村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赵文豹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18903181860</w:t>
            </w:r>
            <w:bookmarkEnd w:id="4"/>
          </w:p>
        </w:tc>
        <w:tc>
          <w:tcPr>
            <w:tcW w:w="6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合同编号"/>
            <w:r>
              <w:rPr>
                <w:sz w:val="21"/>
                <w:szCs w:val="21"/>
              </w:rPr>
              <w:t>0157-2020-QEO-2022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501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Q：橡胶支座、橡胶止水带、盆式支座、桥梁伸缩缝的生产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E：橡胶支座、橡胶止水带、盆式支座、桥梁伸缩缝的生产所涉及的相关环境管理活动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O：橡胶支座、橡胶止水带、盆式支座、桥梁伸缩缝的生产所涉及的相关职业健康安全管理活动</w:t>
            </w:r>
            <w:bookmarkEnd w:id="16"/>
          </w:p>
        </w:tc>
        <w:tc>
          <w:tcPr>
            <w:tcW w:w="6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Q：14.01.02;17.06.01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E：14.01.02;17.06.01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O：14.01.02;17.06.01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GB/T45001-2020/ISO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bookmarkStart w:id="24" w:name="_GoBack"/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2022年08月04日 上午至2022年08月04日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Q:14.01.02,17.06.01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E:14.01.02,17.06.01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O:14.01.02,17.06.01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余家龙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2021-N1OHSMS-1262293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E:14.01.02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15181072354 17709081193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E:14.01.02,17.06.01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</w:t>
            </w:r>
          </w:p>
        </w:tc>
      </w:tr>
    </w:tbl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542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2.8.4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8:30-10:30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资质的确认、上次不符合验证、证书使用情况、上级部门监督检查、相关方投诉情况；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人员、组织知识；能力；意识；沟通；能力、培训和意识；文件化信息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.1/8.5.2/8.5.3/8.5.4/8.5.6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5.3/6.2/6.1.2/8.1/8.2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：组织的岗位、职责权限；目标、方案；环境因素/危险源识别评价；产品和服务要求；外部提供的过程、产品和服务的控制；交付后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产品和服务的放行；不合格输出的控制；分析和评价；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审核组沟通，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F62228"/>
    <w:rsid w:val="54E775CE"/>
    <w:rsid w:val="72AE0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2022-08-11T02:31:34Z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