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09"/>
        <w:gridCol w:w="37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河北鸿美通讯器材有限公司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周亚磊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13784751238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吕玥桥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0703-2021-QE-2022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Q：通讯线路铁件、通讯箱体、塑料管材、水泥标志桩、钢管、井具、木杆、跳线、皮线光缆保护盒、五金电料、钢材、电子产品的销售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E：通讯线路铁件、通讯箱体、塑料管材、水泥标志桩、钢管、井具、木杆、跳线、皮线光缆保护盒、五金电料、钢材、电子产品的销售所涉及场所的相关环境管理活动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O：通讯线路铁件、通讯箱体、塑料管材、水泥标志桩、钢管、井具、木杆、跳线、皮线光缆保护盒、五金电料、钢材、电子产品的销售所涉及场所的相关职业健康安全管理活动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2022年07月29日 上午至2022年07月30日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62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2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2022年7月28日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2022年7月28日</w:t>
            </w:r>
          </w:p>
        </w:tc>
        <w:tc>
          <w:tcPr>
            <w:tcW w:w="162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2022年7月28日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9：00-9：30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9：30-12：00</w:t>
            </w:r>
          </w:p>
        </w:tc>
        <w:tc>
          <w:tcPr>
            <w:tcW w:w="1263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cs="宋体"/>
                <w:sz w:val="21"/>
                <w:szCs w:val="21"/>
              </w:rPr>
              <w:t>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12：30-17：30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8.1运行策划和控制；8.2产品和服务的要求；8.3设计开发控制；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8.5.2标识和可追溯性；8.5.3顾客或外部供方的财产；8.5.4防护；8.5.5交付后的活动；8.5.6更改控制，8.6产品和服务放行；8.7不合格输出的控制；</w:t>
            </w:r>
            <w:bookmarkStart w:id="36" w:name="_GoBack"/>
            <w:bookmarkEnd w:id="36"/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6.1.2危险源辨识和职业安全风险评价；8.1运行策划和控制；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0-12：00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/权限；6.2目标及其实现的策划；8.4外部提供供方的控制；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6.1.2危险源辨识和职业安全风险评价；8.1运行策划和控制；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12：30-16：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63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 ：5.3岗位/职责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9.1.3分析和评价；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10.2不合格和纠正措施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5.3组织的角色、职责和权限;；6.1.2环境因素；6.1.3合规义务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6.2目标及其达成的策划；8.1运行策划和控制；8.2应急准备和响应；9.1监视、测量、分析与评估；9.1.2符合性评估；10.2不合格和纠正措施/EMS运行控制相关财务支出证据。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10.2不合格和纠正措施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注：12：00-12：30午餐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yMDZhNzQwNjM5MDdiNDI2ODlmYjBkNjBlYTY2ZTEifQ=="/>
  </w:docVars>
  <w:rsids>
    <w:rsidRoot w:val="00000000"/>
    <w:rsid w:val="00C102FA"/>
    <w:rsid w:val="29317E03"/>
    <w:rsid w:val="5A1E2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2483</Words>
  <Characters>3441</Characters>
  <Lines>37</Lines>
  <Paragraphs>10</Paragraphs>
  <TotalTime>4</TotalTime>
  <ScaleCrop>false</ScaleCrop>
  <LinksUpToDate>false</LinksUpToDate>
  <CharactersWithSpaces>3513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2022-07-30T07:41:26Z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