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0824-2022-H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shd w:val="clear" w:color="auto" w:fill="EBF1DE" w:themeFill="accent3" w:themeFillTint="3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福州市好口福餐饮管理有限公司</w:t>
            </w:r>
            <w:bookmarkEnd w:id="1"/>
          </w:p>
        </w:tc>
        <w:tc>
          <w:tcPr>
            <w:tcW w:w="1370" w:type="dxa"/>
            <w:shd w:val="clear" w:color="auto" w:fill="EBF1DE" w:themeFill="accent3" w:themeFillTint="3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shd w:val="clear" w:color="auto" w:fill="EBF1DE" w:themeFill="accent3" w:themeFillTint="32"/>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shd w:val="clear" w:color="auto" w:fill="EBF1DE" w:themeFill="accent3" w:themeFillTint="32"/>
          </w:tcPr>
          <w:p>
            <w:pPr>
              <w:snapToGrid w:val="0"/>
              <w:spacing w:line="0" w:lineRule="atLeast"/>
              <w:jc w:val="center"/>
              <w:rPr>
                <w:sz w:val="22"/>
                <w:szCs w:val="22"/>
              </w:rPr>
            </w:pPr>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lang w:val="en-GB"/>
              </w:rPr>
              <w:t>证书号</w:t>
            </w:r>
          </w:p>
        </w:tc>
        <w:tc>
          <w:tcPr>
            <w:tcW w:w="1976" w:type="dxa"/>
            <w:shd w:val="clear" w:color="auto" w:fill="EBF1DE" w:themeFill="accent3" w:themeFillTint="32"/>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shd w:val="clear" w:color="auto" w:fill="EBF1DE" w:themeFill="accent3" w:themeFillTint="32"/>
          </w:tcPr>
          <w:p>
            <w:pPr>
              <w:snapToGrid w:val="0"/>
              <w:spacing w:line="0" w:lineRule="atLeast"/>
              <w:jc w:val="center"/>
              <w:rPr>
                <w:sz w:val="22"/>
                <w:szCs w:val="22"/>
              </w:rPr>
            </w:pPr>
            <w:bookmarkStart w:id="4" w:name="机构代码"/>
            <w:r>
              <w:rPr>
                <w:sz w:val="22"/>
                <w:szCs w:val="22"/>
              </w:rPr>
              <w:t>91350100572994928W</w:t>
            </w:r>
            <w:bookmarkEnd w:id="4"/>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rPr>
              <w:t>是否带CNAS标志</w:t>
            </w:r>
          </w:p>
        </w:tc>
        <w:tc>
          <w:tcPr>
            <w:tcW w:w="1976" w:type="dxa"/>
            <w:shd w:val="clear" w:color="auto" w:fill="EBF1DE" w:themeFill="accent3" w:themeFillTint="32"/>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H:无CNAS标志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shd w:val="clear" w:color="auto" w:fill="EBF1DE" w:themeFill="accent3" w:themeFillTint="3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 </w:t>
            </w:r>
            <w:r>
              <w:rPr>
                <w:rFonts w:hint="eastAsia"/>
                <w:sz w:val="22"/>
                <w:szCs w:val="22"/>
                <w:lang w:val="en-US" w:eastAsia="zh-CN"/>
              </w:rPr>
              <w:t>V</w:t>
            </w:r>
            <w:r>
              <w:rPr>
                <w:rFonts w:hint="eastAsia"/>
                <w:sz w:val="22"/>
                <w:szCs w:val="22"/>
              </w:rPr>
              <w:t>1.0</w:t>
            </w:r>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rPr>
              <w:t>企业体系有效人数</w:t>
            </w:r>
          </w:p>
        </w:tc>
        <w:tc>
          <w:tcPr>
            <w:tcW w:w="1976" w:type="dxa"/>
            <w:shd w:val="clear" w:color="auto" w:fill="EBF1DE" w:themeFill="accent3" w:themeFillTint="32"/>
          </w:tcPr>
          <w:p>
            <w:pPr>
              <w:snapToGrid w:val="0"/>
              <w:spacing w:line="0" w:lineRule="atLeast"/>
              <w:jc w:val="center"/>
              <w:rPr>
                <w:sz w:val="22"/>
                <w:szCs w:val="22"/>
              </w:rPr>
            </w:pPr>
            <w:bookmarkStart w:id="13" w:name="体系人数"/>
            <w:r>
              <w:rPr>
                <w:sz w:val="22"/>
                <w:szCs w:val="22"/>
              </w:rPr>
              <w:t>40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rPr>
              <w:t>审核类型</w:t>
            </w:r>
          </w:p>
        </w:tc>
        <w:tc>
          <w:tcPr>
            <w:tcW w:w="8386" w:type="dxa"/>
            <w:gridSpan w:val="5"/>
            <w:shd w:val="clear" w:color="auto" w:fill="EBF1DE" w:themeFill="accent3" w:themeFillTint="32"/>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shd w:val="clear" w:color="auto" w:fill="EBF1DE" w:themeFill="accent3" w:themeFillTint="32"/>
          </w:tcPr>
          <w:p>
            <w:pPr>
              <w:snapToGrid w:val="0"/>
              <w:spacing w:line="0" w:lineRule="atLeast"/>
              <w:jc w:val="left"/>
              <w:rPr>
                <w:sz w:val="22"/>
                <w:szCs w:val="22"/>
              </w:rPr>
            </w:pPr>
            <w:r>
              <w:rPr>
                <w:rFonts w:hint="eastAsia"/>
                <w:sz w:val="22"/>
                <w:szCs w:val="22"/>
                <w:lang w:val="en-GB"/>
              </w:rPr>
              <w:t>公司名称</w:t>
            </w:r>
          </w:p>
        </w:tc>
        <w:tc>
          <w:tcPr>
            <w:tcW w:w="3373" w:type="dxa"/>
            <w:vMerge w:val="restart"/>
            <w:shd w:val="clear" w:color="auto" w:fill="EBF1DE" w:themeFill="accent3" w:themeFillTint="32"/>
          </w:tcPr>
          <w:p>
            <w:pPr>
              <w:snapToGrid w:val="0"/>
              <w:spacing w:line="0" w:lineRule="atLeast"/>
              <w:jc w:val="left"/>
              <w:rPr>
                <w:sz w:val="22"/>
                <w:szCs w:val="22"/>
                <w:lang w:val="en-GB"/>
              </w:rPr>
            </w:pPr>
            <w:bookmarkStart w:id="18" w:name="组织名称Add1"/>
            <w:r>
              <w:rPr>
                <w:rFonts w:hint="eastAsia"/>
                <w:sz w:val="22"/>
                <w:szCs w:val="22"/>
              </w:rPr>
              <w:t>福州市好口福餐饮管理有限公司</w:t>
            </w:r>
            <w:bookmarkEnd w:id="18"/>
          </w:p>
        </w:tc>
        <w:tc>
          <w:tcPr>
            <w:tcW w:w="5013" w:type="dxa"/>
            <w:gridSpan w:val="4"/>
            <w:vMerge w:val="restart"/>
            <w:shd w:val="clear" w:color="auto" w:fill="EBF1DE" w:themeFill="accent3" w:themeFillTint="32"/>
          </w:tcPr>
          <w:p>
            <w:pPr>
              <w:snapToGrid w:val="0"/>
              <w:spacing w:line="0" w:lineRule="atLeast"/>
              <w:jc w:val="left"/>
              <w:rPr>
                <w:sz w:val="22"/>
                <w:szCs w:val="22"/>
              </w:rPr>
            </w:pPr>
            <w:bookmarkStart w:id="19" w:name="审核范围"/>
            <w:r>
              <w:rPr>
                <w:sz w:val="22"/>
                <w:szCs w:val="22"/>
              </w:rPr>
              <w:t>位于福建省福州市闽侯县荆溪镇关口内西山128号颂恩楼三楼福州英华职业学院(荆溪校区)食堂三楼C餐厅（承包食堂）福州市好口福餐饮管理有限公司的餐饮管理服务（热食类食品制售）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shd w:val="clear" w:color="auto" w:fill="EBF1DE" w:themeFill="accent3" w:themeFillTint="32"/>
          </w:tcPr>
          <w:p>
            <w:pPr>
              <w:snapToGrid w:val="0"/>
              <w:spacing w:line="0" w:lineRule="atLeast"/>
              <w:jc w:val="left"/>
              <w:rPr>
                <w:sz w:val="22"/>
                <w:szCs w:val="22"/>
              </w:rPr>
            </w:pPr>
            <w:r>
              <w:rPr>
                <w:rFonts w:hint="eastAsia"/>
                <w:sz w:val="22"/>
                <w:szCs w:val="22"/>
                <w:lang w:val="en-GB"/>
              </w:rPr>
              <w:t>注册地址</w:t>
            </w:r>
          </w:p>
        </w:tc>
        <w:tc>
          <w:tcPr>
            <w:tcW w:w="3373" w:type="dxa"/>
            <w:shd w:val="clear" w:color="auto" w:fill="EBF1DE" w:themeFill="accent3" w:themeFillTint="32"/>
          </w:tcPr>
          <w:p>
            <w:pPr>
              <w:snapToGrid w:val="0"/>
              <w:spacing w:line="0" w:lineRule="atLeast"/>
              <w:jc w:val="left"/>
              <w:rPr>
                <w:sz w:val="22"/>
                <w:szCs w:val="22"/>
              </w:rPr>
            </w:pPr>
            <w:bookmarkStart w:id="20" w:name="注册地址"/>
            <w:r>
              <w:rPr>
                <w:rFonts w:hint="eastAsia"/>
                <w:sz w:val="22"/>
                <w:szCs w:val="22"/>
                <w:lang w:val="en-GB"/>
              </w:rPr>
              <w:t>福建省福州市仓山区临江街道工农路204号仓山港头农贸市场商品房1-3号楼连接体1层09店面-1</w:t>
            </w:r>
            <w:bookmarkEnd w:id="20"/>
          </w:p>
        </w:tc>
        <w:tc>
          <w:tcPr>
            <w:tcW w:w="5013" w:type="dxa"/>
            <w:gridSpan w:val="4"/>
            <w:vMerge w:val="continue"/>
            <w:shd w:val="clear" w:color="auto" w:fill="EBF1DE" w:themeFill="accent3"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shd w:val="clear" w:color="auto" w:fill="EBF1DE" w:themeFill="accent3" w:themeFillTint="32"/>
          </w:tcPr>
          <w:p>
            <w:pPr>
              <w:snapToGrid w:val="0"/>
              <w:spacing w:line="0" w:lineRule="atLeast"/>
              <w:jc w:val="left"/>
              <w:rPr>
                <w:sz w:val="22"/>
                <w:szCs w:val="22"/>
                <w:lang w:val="en-GB"/>
              </w:rPr>
            </w:pPr>
            <w:r>
              <w:rPr>
                <w:rFonts w:hint="eastAsia"/>
                <w:sz w:val="22"/>
                <w:szCs w:val="22"/>
                <w:lang w:val="en-GB"/>
              </w:rPr>
              <w:t>经营地址</w:t>
            </w:r>
          </w:p>
        </w:tc>
        <w:tc>
          <w:tcPr>
            <w:tcW w:w="3373" w:type="dxa"/>
            <w:shd w:val="clear" w:color="auto" w:fill="EBF1DE" w:themeFill="accent3" w:themeFillTint="32"/>
          </w:tcPr>
          <w:p>
            <w:pPr>
              <w:snapToGrid w:val="0"/>
              <w:spacing w:line="0" w:lineRule="atLeast"/>
              <w:jc w:val="left"/>
              <w:rPr>
                <w:sz w:val="22"/>
                <w:szCs w:val="22"/>
              </w:rPr>
            </w:pPr>
            <w:r>
              <w:rPr>
                <w:rFonts w:hint="eastAsia"/>
                <w:sz w:val="22"/>
                <w:szCs w:val="22"/>
              </w:rPr>
              <w:t>福建省福州市闽侯县荆溪镇关口内西山128号颂恩楼三楼【承包福州英华职业学院(荆溪校区)食堂三楼C餐厅】</w:t>
            </w:r>
          </w:p>
        </w:tc>
        <w:tc>
          <w:tcPr>
            <w:tcW w:w="5013" w:type="dxa"/>
            <w:gridSpan w:val="4"/>
            <w:vMerge w:val="continue"/>
            <w:shd w:val="clear" w:color="auto" w:fill="EBF1DE" w:themeFill="accent3"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highlight w:val="none"/>
              </w:rPr>
            </w:pPr>
            <w:bookmarkStart w:id="21" w:name="_GoBack" w:colFirst="0" w:colLast="3"/>
            <w:r>
              <w:rPr>
                <w:rFonts w:cs="Arial"/>
                <w:b/>
                <w:bCs/>
                <w:sz w:val="22"/>
                <w:szCs w:val="16"/>
                <w:highlight w:val="none"/>
              </w:rPr>
              <w:t>Company Name</w:t>
            </w:r>
            <w:r>
              <w:rPr>
                <w:rFonts w:hint="eastAsia"/>
                <w:sz w:val="22"/>
                <w:szCs w:val="22"/>
                <w:highlight w:val="none"/>
                <w:lang w:val="en-GB"/>
              </w:rPr>
              <w:t>公司名称</w:t>
            </w:r>
          </w:p>
        </w:tc>
        <w:tc>
          <w:tcPr>
            <w:tcW w:w="3373" w:type="dxa"/>
            <w:vMerge w:val="restart"/>
          </w:tcPr>
          <w:p>
            <w:pPr>
              <w:snapToGrid w:val="0"/>
              <w:spacing w:line="0" w:lineRule="atLeast"/>
              <w:jc w:val="left"/>
              <w:rPr>
                <w:sz w:val="22"/>
                <w:szCs w:val="22"/>
                <w:highlight w:val="none"/>
              </w:rPr>
            </w:pPr>
            <w:r>
              <w:rPr>
                <w:rFonts w:hint="eastAsia"/>
                <w:sz w:val="22"/>
                <w:szCs w:val="22"/>
                <w:highlight w:val="none"/>
              </w:rPr>
              <w:t>Fuzhou Haokoufu Catering Management Co., Ltd.</w:t>
            </w:r>
          </w:p>
        </w:tc>
        <w:tc>
          <w:tcPr>
            <w:tcW w:w="1337" w:type="dxa"/>
          </w:tcPr>
          <w:p>
            <w:pPr>
              <w:snapToGrid w:val="0"/>
              <w:spacing w:line="0" w:lineRule="atLeast"/>
              <w:jc w:val="left"/>
              <w:rPr>
                <w:sz w:val="22"/>
                <w:szCs w:val="22"/>
                <w:highlight w:val="none"/>
              </w:rPr>
            </w:pPr>
            <w:r>
              <w:rPr>
                <w:rFonts w:hint="eastAsia"/>
                <w:sz w:val="22"/>
                <w:szCs w:val="22"/>
                <w:highlight w:val="none"/>
              </w:rPr>
              <w:t>QMS/EcMS</w:t>
            </w:r>
          </w:p>
        </w:tc>
        <w:tc>
          <w:tcPr>
            <w:tcW w:w="3676" w:type="dxa"/>
            <w:gridSpan w:val="3"/>
          </w:tcPr>
          <w:p>
            <w:pPr>
              <w:snapToGrid w:val="0"/>
              <w:spacing w:line="0" w:lineRule="atLeast"/>
              <w:jc w:val="left"/>
              <w:rPr>
                <w:rFonts w:hint="eastAsia" w:eastAsia="宋体"/>
                <w:sz w:val="21"/>
                <w:szCs w:val="16"/>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EMS</w:t>
            </w:r>
          </w:p>
        </w:tc>
        <w:tc>
          <w:tcPr>
            <w:tcW w:w="3676" w:type="dxa"/>
            <w:gridSpan w:val="3"/>
          </w:tcPr>
          <w:p>
            <w:pPr>
              <w:snapToGrid w:val="0"/>
              <w:spacing w:line="0" w:lineRule="atLeast"/>
              <w:jc w:val="left"/>
              <w:rPr>
                <w:rFonts w:hint="eastAsia" w:eastAsia="宋体"/>
                <w:sz w:val="21"/>
                <w:szCs w:val="16"/>
                <w:highlight w:val="none"/>
                <w:lang w:eastAsia="zh-CN"/>
              </w:rPr>
            </w:pPr>
            <w:r>
              <w:rPr>
                <w:rFonts w:hint="eastAsia"/>
                <w:sz w:val="21"/>
                <w:szCs w:val="16"/>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tcPr>
          <w:p>
            <w:pPr>
              <w:snapToGrid w:val="0"/>
              <w:spacing w:line="0" w:lineRule="atLeast"/>
              <w:jc w:val="left"/>
              <w:rPr>
                <w:sz w:val="22"/>
                <w:szCs w:val="22"/>
                <w:highlight w:val="none"/>
              </w:rPr>
            </w:pPr>
            <w:r>
              <w:rPr>
                <w:rFonts w:hint="eastAsia"/>
                <w:sz w:val="22"/>
                <w:szCs w:val="22"/>
                <w:highlight w:val="none"/>
              </w:rPr>
              <w:t>Shop 09-1, Floor 1, Connecting body of Building 1-3, Cangshan Gangtou Farmers' Market Commercial Housing, No. 204 Gongnong Road, Linjiang Street, Cangshan District, Fuzhou, Fujian</w:t>
            </w:r>
          </w:p>
        </w:tc>
        <w:tc>
          <w:tcPr>
            <w:tcW w:w="1337" w:type="dxa"/>
          </w:tcPr>
          <w:p>
            <w:pPr>
              <w:snapToGrid w:val="0"/>
              <w:spacing w:line="0" w:lineRule="atLeast"/>
              <w:jc w:val="left"/>
              <w:rPr>
                <w:sz w:val="22"/>
                <w:szCs w:val="22"/>
                <w:highlight w:val="none"/>
              </w:rPr>
            </w:pPr>
            <w:r>
              <w:rPr>
                <w:rFonts w:hint="eastAsia"/>
                <w:sz w:val="22"/>
                <w:szCs w:val="22"/>
                <w:highlight w:val="none"/>
              </w:rPr>
              <w:t>OHSMS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EnMS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sz w:val="22"/>
                <w:szCs w:val="22"/>
                <w:highlight w:val="none"/>
              </w:rPr>
            </w:pPr>
            <w:r>
              <w:rPr>
                <w:rFonts w:hint="eastAsia"/>
                <w:sz w:val="22"/>
                <w:szCs w:val="22"/>
                <w:highlight w:val="none"/>
              </w:rPr>
              <w:t>3rd Floor, Song 'en Building, No.128, Xishan, Guankou Nei, Jingxi Town, Minhou County, Fuzhou City, Fujian Province [Contracted the restaurant C on the third floor of the canteen of Fuzhou Yinghua Vocational College (Jingxi Campus)]</w:t>
            </w:r>
          </w:p>
        </w:tc>
        <w:tc>
          <w:tcPr>
            <w:tcW w:w="1337" w:type="dxa"/>
          </w:tcPr>
          <w:p>
            <w:pPr>
              <w:snapToGrid w:val="0"/>
              <w:spacing w:line="0" w:lineRule="atLeast"/>
              <w:jc w:val="left"/>
              <w:rPr>
                <w:sz w:val="22"/>
                <w:szCs w:val="22"/>
                <w:highlight w:val="none"/>
              </w:rPr>
            </w:pPr>
            <w:r>
              <w:rPr>
                <w:rFonts w:hint="eastAsia"/>
                <w:sz w:val="22"/>
                <w:szCs w:val="22"/>
                <w:highlight w:val="none"/>
              </w:rPr>
              <w:t>FSMS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HACCP</w:t>
            </w:r>
          </w:p>
        </w:tc>
        <w:tc>
          <w:tcPr>
            <w:tcW w:w="3676" w:type="dxa"/>
            <w:gridSpan w:val="3"/>
          </w:tcPr>
          <w:p>
            <w:pPr>
              <w:snapToGrid w:val="0"/>
              <w:spacing w:line="0" w:lineRule="atLeast"/>
              <w:jc w:val="left"/>
              <w:rPr>
                <w:sz w:val="22"/>
                <w:szCs w:val="22"/>
                <w:highlight w:val="none"/>
              </w:rPr>
            </w:pPr>
            <w:r>
              <w:rPr>
                <w:rFonts w:hint="eastAsia"/>
                <w:sz w:val="22"/>
                <w:szCs w:val="22"/>
                <w:highlight w:val="none"/>
              </w:rPr>
              <w:t xml:space="preserve">Located in 3rd Floor, Song 'en Building, No.128, Xishan, Guankou Nei, Jingxi Town, Minhou County, Fuzhou City, Fujian Province , Fuzhou Yinghua Vocational College (Jingxi Campus) </w:t>
            </w:r>
            <w:r>
              <w:rPr>
                <w:rFonts w:hint="eastAsia"/>
                <w:sz w:val="22"/>
                <w:szCs w:val="22"/>
                <w:highlight w:val="none"/>
                <w:lang w:val="en-US" w:eastAsia="zh-CN"/>
              </w:rPr>
              <w:t>C</w:t>
            </w:r>
            <w:r>
              <w:rPr>
                <w:rFonts w:hint="eastAsia"/>
                <w:sz w:val="22"/>
                <w:szCs w:val="22"/>
                <w:highlight w:val="none"/>
              </w:rPr>
              <w:t xml:space="preserve">anteen </w:t>
            </w:r>
            <w:r>
              <w:rPr>
                <w:rFonts w:hint="eastAsia"/>
                <w:sz w:val="22"/>
                <w:szCs w:val="22"/>
                <w:highlight w:val="none"/>
                <w:lang w:val="en-US" w:eastAsia="zh-CN"/>
              </w:rPr>
              <w:t>T</w:t>
            </w:r>
            <w:r>
              <w:rPr>
                <w:rFonts w:hint="eastAsia"/>
                <w:sz w:val="22"/>
                <w:szCs w:val="22"/>
                <w:highlight w:val="none"/>
              </w:rPr>
              <w:t xml:space="preserve">hird </w:t>
            </w:r>
            <w:r>
              <w:rPr>
                <w:rFonts w:hint="eastAsia"/>
                <w:sz w:val="22"/>
                <w:szCs w:val="22"/>
                <w:highlight w:val="none"/>
                <w:lang w:val="en-US" w:eastAsia="zh-CN"/>
              </w:rPr>
              <w:t>F</w:t>
            </w:r>
            <w:r>
              <w:rPr>
                <w:rFonts w:hint="eastAsia"/>
                <w:sz w:val="22"/>
                <w:szCs w:val="22"/>
                <w:highlight w:val="none"/>
              </w:rPr>
              <w:t xml:space="preserve">loor C </w:t>
            </w:r>
            <w:r>
              <w:rPr>
                <w:rFonts w:hint="eastAsia"/>
                <w:sz w:val="22"/>
                <w:szCs w:val="22"/>
                <w:highlight w:val="none"/>
                <w:lang w:val="en-US" w:eastAsia="zh-CN"/>
              </w:rPr>
              <w:t>R</w:t>
            </w:r>
            <w:r>
              <w:rPr>
                <w:rFonts w:hint="eastAsia"/>
                <w:sz w:val="22"/>
                <w:szCs w:val="22"/>
                <w:highlight w:val="none"/>
              </w:rPr>
              <w:t xml:space="preserve">estaurant (contract canteen) Fuzhou Haokoufu Catering Management Co., LTD. Catering </w:t>
            </w:r>
            <w:r>
              <w:rPr>
                <w:rFonts w:hint="eastAsia"/>
                <w:sz w:val="22"/>
                <w:szCs w:val="22"/>
                <w:highlight w:val="none"/>
                <w:lang w:val="en-US" w:eastAsia="zh-CN"/>
              </w:rPr>
              <w:t>M</w:t>
            </w:r>
            <w:r>
              <w:rPr>
                <w:rFonts w:hint="eastAsia"/>
                <w:sz w:val="22"/>
                <w:szCs w:val="22"/>
                <w:highlight w:val="none"/>
              </w:rPr>
              <w:t xml:space="preserve">anagement </w:t>
            </w:r>
            <w:r>
              <w:rPr>
                <w:rFonts w:hint="eastAsia"/>
                <w:sz w:val="22"/>
                <w:szCs w:val="22"/>
                <w:highlight w:val="none"/>
                <w:lang w:val="en-US" w:eastAsia="zh-CN"/>
              </w:rPr>
              <w:t>S</w:t>
            </w:r>
            <w:r>
              <w:rPr>
                <w:rFonts w:hint="eastAsia"/>
                <w:sz w:val="22"/>
                <w:szCs w:val="22"/>
                <w:highlight w:val="none"/>
              </w:rPr>
              <w:t>ervices (</w:t>
            </w:r>
            <w:r>
              <w:rPr>
                <w:rFonts w:hint="eastAsia"/>
                <w:sz w:val="22"/>
                <w:szCs w:val="22"/>
                <w:highlight w:val="none"/>
                <w:lang w:val="en-US" w:eastAsia="zh-CN"/>
              </w:rPr>
              <w:t>H</w:t>
            </w:r>
            <w:r>
              <w:rPr>
                <w:rFonts w:hint="eastAsia"/>
                <w:sz w:val="22"/>
                <w:szCs w:val="22"/>
                <w:highlight w:val="none"/>
              </w:rPr>
              <w:t>ot</w:t>
            </w:r>
            <w:r>
              <w:rPr>
                <w:rFonts w:hint="eastAsia"/>
                <w:sz w:val="22"/>
                <w:szCs w:val="22"/>
                <w:highlight w:val="none"/>
                <w:lang w:val="en-US" w:eastAsia="zh-CN"/>
              </w:rPr>
              <w:t xml:space="preserve"> F</w:t>
            </w:r>
            <w:r>
              <w:rPr>
                <w:rFonts w:hint="eastAsia"/>
                <w:sz w:val="22"/>
                <w:szCs w:val="22"/>
                <w:highlight w:val="none"/>
              </w:rPr>
              <w:t xml:space="preserve">ood </w:t>
            </w:r>
            <w:r>
              <w:rPr>
                <w:rFonts w:hint="eastAsia"/>
                <w:sz w:val="22"/>
                <w:szCs w:val="22"/>
                <w:highlight w:val="none"/>
                <w:lang w:val="en-US" w:eastAsia="zh-CN"/>
              </w:rPr>
              <w:t>P</w:t>
            </w:r>
            <w:r>
              <w:rPr>
                <w:rFonts w:hint="eastAsia"/>
                <w:sz w:val="22"/>
                <w:szCs w:val="22"/>
                <w:highlight w:val="none"/>
              </w:rPr>
              <w:t xml:space="preserve">roduction and </w:t>
            </w:r>
            <w:r>
              <w:rPr>
                <w:rFonts w:hint="eastAsia"/>
                <w:sz w:val="22"/>
                <w:szCs w:val="22"/>
                <w:highlight w:val="none"/>
                <w:lang w:val="en-US" w:eastAsia="zh-CN"/>
              </w:rPr>
              <w:t>S</w:t>
            </w:r>
            <w:r>
              <w:rPr>
                <w:rFonts w:hint="eastAsia"/>
                <w:sz w:val="22"/>
                <w:szCs w:val="22"/>
                <w:highlight w:val="none"/>
              </w:rPr>
              <w:t>ales)</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635"/>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GQzYmZlYjc0MTg3YzE3NjNlNzg5YWY5YjI1NjgifQ=="/>
  </w:docVars>
  <w:rsids>
    <w:rsidRoot w:val="00000000"/>
    <w:rsid w:val="3FA54E5D"/>
    <w:rsid w:val="62162BFD"/>
    <w:rsid w:val="752509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1</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2022-09-25T02:21:46Z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2D126DBB37954965B5DE83BA0E30A38F</vt:lpwstr>
  </property>
  <property fmtid="{D5CDD505-2E9C-101B-9397-08002B2CF9AE}" pid="3" name="KSOProductBuildVer">
    <vt:lpwstr>2052-11.1.0.12358</vt:lpwstr>
  </property>
</Properties>
</file>